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УТВЕРЖДА</w:t>
      </w:r>
      <w:r w:rsidR="00A11960" w:rsidRPr="00A1196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38D1" w:rsidRPr="00A11960" w:rsidRDefault="00A11960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муниципального района</w:t>
      </w:r>
    </w:p>
    <w:p w:rsidR="002E38D1" w:rsidRDefault="00A11960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Сультимов</w:t>
      </w:r>
      <w:proofErr w:type="spellEnd"/>
    </w:p>
    <w:p w:rsidR="003E6013" w:rsidRDefault="003E6013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:rsidR="003E6013" w:rsidRDefault="003E6013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A11960" w:rsidP="001E12B8">
      <w:pPr>
        <w:pStyle w:val="PreformattedText"/>
        <w:ind w:firstLine="62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B4DFD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февраля 20</w:t>
      </w:r>
      <w:r w:rsidR="00291E6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B8797F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</w:t>
      </w:r>
    </w:p>
    <w:p w:rsidR="002E38D1" w:rsidRPr="00A11960" w:rsidRDefault="002E38D1" w:rsidP="007B4DFD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0909FC" w:rsidRDefault="00A11960" w:rsidP="00B8797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«Состояние и развитие конкурентной среды</w:t>
      </w:r>
      <w:r w:rsidR="00B8797F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на рынках товаров и услуг муниципального образования</w:t>
      </w:r>
      <w:r w:rsidR="00B8797F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«</w:t>
      </w:r>
      <w:proofErr w:type="spellStart"/>
      <w:r w:rsidRPr="000909FC">
        <w:rPr>
          <w:rFonts w:ascii="Times New Roman" w:hAnsi="Times New Roman" w:cs="Times New Roman"/>
          <w:color w:val="auto"/>
          <w:sz w:val="24"/>
          <w:lang w:val="ru-RU"/>
        </w:rPr>
        <w:t>Курумканский</w:t>
      </w:r>
      <w:proofErr w:type="spellEnd"/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район за 201</w:t>
      </w:r>
      <w:r w:rsidR="00291E62" w:rsidRPr="000909FC">
        <w:rPr>
          <w:rFonts w:ascii="Times New Roman" w:hAnsi="Times New Roman" w:cs="Times New Roman"/>
          <w:color w:val="auto"/>
          <w:sz w:val="24"/>
          <w:lang w:val="ru-RU"/>
        </w:rPr>
        <w:t>9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год»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Развитие конкуренции — это задача,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кото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ой в значительной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степени зависит от эффективности проведения государст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енной политики по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широкому спектру направлений: от создания благоприятного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инвестиционного климата, включая развитие финанс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вой и налоговой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системы, снижение административных и инфраструкту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ных барьеров, до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защиты прав потребителей и предпринимателей.</w:t>
      </w:r>
    </w:p>
    <w:p w:rsidR="002E38D1" w:rsidRPr="00A11960" w:rsidRDefault="00A11960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Отделом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экономи</w:t>
      </w:r>
      <w:r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админист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«Курумканский район»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подготовлен доклад «Состояние и развитие конкурентно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среды на рынках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товаров и услуг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за 201</w:t>
      </w:r>
      <w:r w:rsidR="00291E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год» (далее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Доклад).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является документом, формируемым в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целях обеспечения органов исполнительной власти Республики Бурятия, органов местного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самоуправления, юридических лиц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предпринимателей и граждан систематизированно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й аналитической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информацией о состоянии и развитии конкуренци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и в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«Курумканский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приведен анализ состояния конкурентной среды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11960">
        <w:rPr>
          <w:rFonts w:ascii="Times New Roman" w:hAnsi="Times New Roman" w:cs="Times New Roman"/>
          <w:sz w:val="24"/>
          <w:szCs w:val="24"/>
          <w:lang w:val="ru-RU"/>
        </w:rPr>
        <w:t>Курумканском районе по итогам 201</w:t>
      </w:r>
      <w:r w:rsidR="00291E6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Доклад подготовлен на основе статистических, вед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мственных данных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 результатов анкетирования, проведенного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Отдело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 экономи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 «Курумканский район»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 Докладе отражены основные мероприятия по в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едрению </w:t>
      </w:r>
      <w:r w:rsidRPr="00D70DE4">
        <w:rPr>
          <w:rFonts w:ascii="Times New Roman" w:hAnsi="Times New Roman" w:cs="Times New Roman"/>
          <w:sz w:val="24"/>
          <w:szCs w:val="24"/>
          <w:lang w:val="ru-RU"/>
        </w:rPr>
        <w:t>Стандарта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развития конк</w:t>
      </w:r>
      <w:r>
        <w:rPr>
          <w:rFonts w:ascii="Times New Roman" w:hAnsi="Times New Roman" w:cs="Times New Roman"/>
          <w:sz w:val="24"/>
          <w:szCs w:val="24"/>
          <w:lang w:val="ru-RU"/>
        </w:rPr>
        <w:t>уренции в районе, результаты вып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олнения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утв</w:t>
      </w:r>
      <w:r>
        <w:rPr>
          <w:rFonts w:ascii="Times New Roman" w:hAnsi="Times New Roman" w:cs="Times New Roman"/>
          <w:sz w:val="24"/>
          <w:szCs w:val="24"/>
          <w:lang w:val="ru-RU"/>
        </w:rPr>
        <w:t>ержденных Планом мероприятий («До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рожной картой»)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«Развитие конкуренции муниципальном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«Курумканский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район» (далее — «Дорожна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карта»).</w:t>
      </w:r>
    </w:p>
    <w:p w:rsidR="002E38D1" w:rsidRPr="00A11960" w:rsidRDefault="00D70DE4" w:rsidP="003E601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6013">
        <w:rPr>
          <w:rFonts w:ascii="Times New Roman" w:hAnsi="Times New Roman" w:cs="Times New Roman"/>
          <w:sz w:val="24"/>
          <w:szCs w:val="24"/>
          <w:lang w:val="ru-RU"/>
        </w:rPr>
        <w:t>Целью настоящего доклада является формирование прозрачной системы работы органов местного самоуправления в части реализации мер по развитию конкуренции в интересах потребителей товаров и услуг и субъектов пр</w:t>
      </w:r>
      <w:r w:rsidR="003E6013">
        <w:rPr>
          <w:rFonts w:ascii="Times New Roman" w:hAnsi="Times New Roman" w:cs="Times New Roman"/>
          <w:sz w:val="24"/>
          <w:szCs w:val="24"/>
          <w:lang w:val="ru-RU"/>
        </w:rPr>
        <w:t>едпринимательской деятельности.</w:t>
      </w:r>
    </w:p>
    <w:p w:rsidR="002E38D1" w:rsidRPr="000909FC" w:rsidRDefault="00D70DE4" w:rsidP="003E6013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szCs w:val="24"/>
          <w:lang w:val="ru-RU"/>
        </w:rPr>
        <w:t>1. Нормативно-правовая база</w:t>
      </w:r>
    </w:p>
    <w:p w:rsidR="002E38D1" w:rsidRPr="00A11960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Внедрение Стандарта развития конкуренци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</w:t>
      </w:r>
      <w:r w:rsidR="009A1971">
        <w:rPr>
          <w:rFonts w:ascii="Times New Roman" w:hAnsi="Times New Roman" w:cs="Times New Roman"/>
          <w:sz w:val="24"/>
          <w:szCs w:val="24"/>
          <w:lang w:val="ru-RU"/>
        </w:rPr>
        <w:t xml:space="preserve"> Курумканского района осуществляется в со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ответствии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E38D1" w:rsidRPr="00A11960" w:rsidRDefault="009A197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>аконом от 06.10.2003 №131-ФЗ «О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б общих принципах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организации местного самоуправления в Российской Фед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рации»;</w:t>
      </w:r>
    </w:p>
    <w:p w:rsidR="002E38D1" w:rsidRPr="00A11960" w:rsidRDefault="009A197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Распоряжением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Правительства Российско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05.09.2015 №1738—р «Об утверждении стандарта разв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тия конкуренции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субъектах РФ»;</w:t>
      </w:r>
    </w:p>
    <w:p w:rsidR="009A1971" w:rsidRDefault="009A1971" w:rsidP="001E12B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9A1971">
        <w:rPr>
          <w:rFonts w:ascii="Times New Roman" w:hAnsi="Times New Roman" w:cs="Times New Roman"/>
          <w:lang w:val="ru-RU"/>
        </w:rPr>
        <w:t>Распоряжение</w:t>
      </w:r>
      <w:r>
        <w:rPr>
          <w:rFonts w:ascii="Times New Roman" w:hAnsi="Times New Roman" w:cs="Times New Roman"/>
          <w:lang w:val="ru-RU"/>
        </w:rPr>
        <w:t>м</w:t>
      </w:r>
      <w:r w:rsidRPr="009A1971">
        <w:rPr>
          <w:rFonts w:ascii="Times New Roman" w:hAnsi="Times New Roman" w:cs="Times New Roman"/>
          <w:lang w:val="ru-RU"/>
        </w:rPr>
        <w:t xml:space="preserve"> Правительства РБ от 05.05.2015 </w:t>
      </w:r>
      <w:r w:rsidR="00904A6C">
        <w:rPr>
          <w:rFonts w:ascii="Times New Roman" w:hAnsi="Times New Roman" w:cs="Times New Roman"/>
          <w:lang w:val="ru-RU"/>
        </w:rPr>
        <w:t>№</w:t>
      </w:r>
      <w:r w:rsidRPr="009A1971">
        <w:rPr>
          <w:rFonts w:ascii="Times New Roman" w:hAnsi="Times New Roman" w:cs="Times New Roman"/>
          <w:lang w:val="ru-RU"/>
        </w:rPr>
        <w:t>263-р</w:t>
      </w:r>
      <w:r>
        <w:rPr>
          <w:rFonts w:ascii="Times New Roman" w:hAnsi="Times New Roman" w:cs="Times New Roman"/>
          <w:lang w:val="ru-RU"/>
        </w:rPr>
        <w:t xml:space="preserve"> «</w:t>
      </w:r>
      <w:r w:rsidRPr="009A1971">
        <w:rPr>
          <w:rFonts w:ascii="Times New Roman" w:hAnsi="Times New Roman" w:cs="Times New Roman"/>
          <w:lang w:val="ru-RU"/>
        </w:rPr>
        <w:t>Об утверждении Плана мероприятий ("дорожной карты") по внедрению на территории Республики Бурятия Стандарта развития конкуренции на период 2015 - 2016 годов</w:t>
      </w:r>
      <w:r>
        <w:rPr>
          <w:rFonts w:ascii="Times New Roman" w:hAnsi="Times New Roman" w:cs="Times New Roman"/>
          <w:lang w:val="ru-RU"/>
        </w:rPr>
        <w:t>»</w:t>
      </w:r>
    </w:p>
    <w:p w:rsidR="002E38D1" w:rsidRDefault="00904A6C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04A6C">
        <w:rPr>
          <w:rFonts w:ascii="Times New Roman" w:hAnsi="Times New Roman" w:cs="Times New Roman"/>
          <w:sz w:val="24"/>
          <w:szCs w:val="24"/>
          <w:lang w:val="ru-RU"/>
        </w:rPr>
        <w:t>Распоряжение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04A6C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РБ от 29.12.2015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904A6C">
        <w:rPr>
          <w:rFonts w:ascii="Times New Roman" w:hAnsi="Times New Roman" w:cs="Times New Roman"/>
          <w:sz w:val="24"/>
          <w:szCs w:val="24"/>
          <w:lang w:val="ru-RU"/>
        </w:rPr>
        <w:t xml:space="preserve">791-р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« </w:t>
      </w:r>
      <w:r w:rsidRPr="00904A6C">
        <w:rPr>
          <w:rFonts w:ascii="Times New Roman" w:hAnsi="Times New Roman" w:cs="Times New Roman"/>
          <w:sz w:val="24"/>
          <w:szCs w:val="24"/>
          <w:lang w:val="ru-RU"/>
        </w:rPr>
        <w:t>О мерах по реализации Стандарта развития конкуренции в субъектах Российской Федерации</w:t>
      </w:r>
    </w:p>
    <w:p w:rsidR="002E38D1" w:rsidRPr="00A11960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04A6C">
        <w:rPr>
          <w:rFonts w:ascii="Times New Roman" w:hAnsi="Times New Roman" w:cs="Times New Roman"/>
          <w:sz w:val="24"/>
          <w:szCs w:val="24"/>
          <w:lang w:val="ru-RU"/>
        </w:rPr>
        <w:t xml:space="preserve"> Соглашением от </w:t>
      </w:r>
      <w:r w:rsidR="00904A6C" w:rsidRPr="00B14AB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B14ABB" w:rsidRPr="00B14AB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04A6C" w:rsidRPr="00B14AB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4ABB" w:rsidRPr="00B14ABB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04A6C" w:rsidRPr="00B14ABB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B14ABB" w:rsidRPr="00B14ABB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04A6C" w:rsidRPr="00B14ABB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B14ABB" w:rsidRPr="00B14ABB">
        <w:rPr>
          <w:rFonts w:ascii="Times New Roman" w:hAnsi="Times New Roman" w:cs="Times New Roman"/>
          <w:sz w:val="24"/>
          <w:szCs w:val="24"/>
          <w:lang w:val="ru-RU"/>
        </w:rPr>
        <w:t>03</w:t>
      </w:r>
      <w:r w:rsidR="00B14ABB">
        <w:rPr>
          <w:rFonts w:ascii="Times New Roman" w:hAnsi="Times New Roman" w:cs="Times New Roman"/>
          <w:sz w:val="24"/>
          <w:szCs w:val="24"/>
          <w:lang w:val="ru-RU"/>
        </w:rPr>
        <w:t>-10-11-и21</w:t>
      </w:r>
      <w:r w:rsidR="00904A6C">
        <w:rPr>
          <w:rFonts w:ascii="Times New Roman" w:hAnsi="Times New Roman" w:cs="Times New Roman"/>
          <w:sz w:val="24"/>
          <w:szCs w:val="24"/>
          <w:lang w:val="ru-RU"/>
        </w:rPr>
        <w:t xml:space="preserve"> о взаимодействии при внедрении в Республике Бурятия Стандарта </w:t>
      </w:r>
      <w:r w:rsidR="00904A6C" w:rsidRPr="00904A6C">
        <w:rPr>
          <w:rFonts w:ascii="Times New Roman" w:hAnsi="Times New Roman" w:cs="Times New Roman"/>
          <w:sz w:val="24"/>
          <w:szCs w:val="24"/>
          <w:lang w:val="ru-RU"/>
        </w:rPr>
        <w:t>развития конкуренции в Республике Бурятия между Министерством экономики Республики Бурятия и Администрацией муниципального образования «Курумканский район»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0909FC" w:rsidRDefault="00D70DE4" w:rsidP="00B8797F">
      <w:pPr>
        <w:pStyle w:val="1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lastRenderedPageBreak/>
        <w:t xml:space="preserve">2. Деятельность администрации 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муниципального образования «Курумканский район»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по внедрени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ю Стандарта развития конкуренции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и развитию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конкурентной среды за отчетный пер</w:t>
      </w:r>
      <w:r w:rsidR="00904A6C" w:rsidRPr="000909FC">
        <w:rPr>
          <w:rFonts w:ascii="Times New Roman" w:hAnsi="Times New Roman" w:cs="Times New Roman"/>
          <w:color w:val="auto"/>
          <w:sz w:val="24"/>
          <w:lang w:val="ru-RU"/>
        </w:rPr>
        <w:t>и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од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исполнения Распоряжения Правительства Республики Бурятия от 05.05.2015г. №263-р «</w:t>
      </w:r>
      <w:r w:rsidR="001E12B8" w:rsidRPr="001E12B8">
        <w:rPr>
          <w:rFonts w:ascii="Times New Roman" w:hAnsi="Times New Roman" w:cs="Times New Roman"/>
          <w:sz w:val="24"/>
          <w:szCs w:val="24"/>
          <w:lang w:val="ru-RU"/>
        </w:rPr>
        <w:t>О мерах по реализации Стандарта развития конкуренции в субъектах Российской Федерации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начиная с 201</w:t>
      </w:r>
      <w:r w:rsidR="00C25C6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5C63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ода, в муниципальном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образовании «Курумканский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ведется работа по внедрению 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конкуренции (далее — Стандарт).</w:t>
      </w:r>
    </w:p>
    <w:p w:rsidR="00C25C63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Адрес размещения информации о ходе внедр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E12B8" w:rsidRPr="00A11960">
        <w:rPr>
          <w:rFonts w:ascii="Times New Roman" w:hAnsi="Times New Roman" w:cs="Times New Roman"/>
          <w:sz w:val="24"/>
          <w:szCs w:val="24"/>
          <w:lang w:val="ru-RU"/>
        </w:rPr>
        <w:t>ния Стандарта в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 Курумканском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районе в сети Интернет:</w:t>
      </w:r>
      <w:r w:rsidR="001E12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09FC" w:rsidRPr="000909FC">
        <w:rPr>
          <w:rFonts w:ascii="Times New Roman" w:hAnsi="Times New Roman" w:cs="Times New Roman"/>
          <w:b/>
          <w:sz w:val="24"/>
          <w:szCs w:val="24"/>
          <w:lang w:val="ru-RU"/>
        </w:rPr>
        <w:t>https://egov-buryatia.ru/kurumkan/deyatelnost/ekonomika/razvitie-konkurentsii/</w:t>
      </w:r>
      <w:r w:rsidR="000909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5203" w:rsidRDefault="00C25C63" w:rsidP="000C520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соответствии с постановлением адми</w:t>
      </w:r>
      <w:r>
        <w:rPr>
          <w:rFonts w:ascii="Times New Roman" w:hAnsi="Times New Roman" w:cs="Times New Roman"/>
          <w:sz w:val="24"/>
          <w:szCs w:val="24"/>
          <w:lang w:val="ru-RU"/>
        </w:rPr>
        <w:t>ни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стр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ции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«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район» от 28.10.2016г. №283 «Об определении уполномоченного органа по содействию развитию конкуренции в муниципальном образовании «Курумканский район»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сены изменения в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об 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отделе экономики Администрации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мун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>иц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ипального 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«Курумканский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район»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5203" w:rsidRPr="00A11960">
        <w:rPr>
          <w:rFonts w:ascii="Times New Roman" w:hAnsi="Times New Roman" w:cs="Times New Roman"/>
          <w:sz w:val="24"/>
          <w:szCs w:val="24"/>
          <w:lang w:val="ru-RU"/>
        </w:rPr>
        <w:t>Уполномо</w:t>
      </w:r>
      <w:r w:rsidR="000C5203">
        <w:rPr>
          <w:rFonts w:ascii="Times New Roman" w:hAnsi="Times New Roman" w:cs="Times New Roman"/>
          <w:sz w:val="24"/>
          <w:szCs w:val="24"/>
          <w:lang w:val="ru-RU"/>
        </w:rPr>
        <w:t xml:space="preserve">ченным органом по содействию развитию конкуренции в муниципальном образовании «Курумканский район» определен отдел экономики Администрации МО «Курумканский район». </w:t>
      </w:r>
      <w:proofErr w:type="gramEnd"/>
    </w:p>
    <w:p w:rsidR="00BE355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целью внедрения Стандарта межд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у Министерством экономики Республики Бурятия и 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дминистр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ацией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«Курумканский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заключено соглашение о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взаимодействии при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внедрени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>в Республике Бурятия С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тандарта развития конкуренции в суб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ъектах Российской Федерации от </w:t>
      </w:r>
      <w:r w:rsidR="00B14ABB" w:rsidRPr="00B14ABB">
        <w:rPr>
          <w:rFonts w:ascii="Times New Roman" w:hAnsi="Times New Roman" w:cs="Times New Roman"/>
          <w:sz w:val="24"/>
          <w:szCs w:val="24"/>
          <w:lang w:val="ru-RU"/>
        </w:rPr>
        <w:t>18.10.2019г. №03</w:t>
      </w:r>
      <w:r w:rsidR="00B14ABB">
        <w:rPr>
          <w:rFonts w:ascii="Times New Roman" w:hAnsi="Times New Roman" w:cs="Times New Roman"/>
          <w:sz w:val="24"/>
          <w:szCs w:val="24"/>
          <w:lang w:val="ru-RU"/>
        </w:rPr>
        <w:t xml:space="preserve">-10-11-и21 </w:t>
      </w:r>
      <w:r w:rsidR="00BE35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5203" w:rsidRPr="00644929" w:rsidRDefault="000C5203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4929">
        <w:rPr>
          <w:rFonts w:ascii="Times New Roman" w:hAnsi="Times New Roman" w:cs="Times New Roman"/>
          <w:sz w:val="24"/>
          <w:szCs w:val="24"/>
          <w:lang w:val="ru-RU"/>
        </w:rPr>
        <w:t>В течение 201</w:t>
      </w:r>
      <w:r w:rsidR="00B14ABB" w:rsidRPr="0064492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в рамках данного Соглашения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образования «Курумканский 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район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>» реализованы следующие мероприятия</w:t>
      </w:r>
      <w:r w:rsidRPr="0064492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545C3" w:rsidRPr="00644929" w:rsidRDefault="000909FC" w:rsidP="00BE3559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BE3559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Утвержден План мероприятий </w:t>
      </w:r>
      <w:r w:rsidR="00473E8B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(дорожная карта) 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по содействию развитию конкуренции на территории муниципального образования «</w:t>
      </w:r>
      <w:proofErr w:type="spellStart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район» (</w:t>
      </w:r>
      <w:r w:rsidR="00473E8B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Распоряжение 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Администрации МО «</w:t>
      </w:r>
      <w:proofErr w:type="spellStart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район» от 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.09.201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521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545C3" w:rsidRPr="000909FC" w:rsidRDefault="000909FC" w:rsidP="003545C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3545C3" w:rsidRPr="000909FC">
        <w:rPr>
          <w:rFonts w:ascii="Times New Roman" w:hAnsi="Times New Roman" w:cs="Times New Roman"/>
          <w:sz w:val="24"/>
          <w:szCs w:val="24"/>
          <w:lang w:val="ru-RU"/>
        </w:rPr>
        <w:t>Функциями коллегиального органа по содействию развития конкуренции наделен Совет по инвестиционной деятельности при Главе МО «Курумканский район» (Постановление Главы МО от 03.11.2016г. №288)</w:t>
      </w:r>
    </w:p>
    <w:p w:rsidR="002E38D1" w:rsidRPr="00644929" w:rsidRDefault="000909FC" w:rsidP="003545C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70DE4" w:rsidRPr="00644929">
        <w:rPr>
          <w:rFonts w:ascii="Times New Roman" w:hAnsi="Times New Roman" w:cs="Times New Roman"/>
          <w:sz w:val="24"/>
          <w:szCs w:val="24"/>
          <w:lang w:val="ru-RU"/>
        </w:rPr>
        <w:t>твержден Перечень приоритетных и социально зн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ачимых рынков для содействия </w:t>
      </w:r>
      <w:r w:rsidR="00D70DE4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развитию 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(Распоряжение Администрации МО «</w:t>
      </w:r>
      <w:proofErr w:type="spellStart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 xml:space="preserve"> район» от 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г. №</w:t>
      </w:r>
      <w:r w:rsidR="00485E4F" w:rsidRPr="00644929">
        <w:rPr>
          <w:rFonts w:ascii="Times New Roman" w:hAnsi="Times New Roman" w:cs="Times New Roman"/>
          <w:sz w:val="24"/>
          <w:szCs w:val="24"/>
          <w:lang w:val="ru-RU"/>
        </w:rPr>
        <w:t>521</w:t>
      </w:r>
      <w:r w:rsidR="003545C3" w:rsidRPr="0064492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E38D1" w:rsidRDefault="002E13FE" w:rsidP="002E13F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>еализация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 </w:t>
      </w:r>
      <w:r w:rsidR="00D70DE4"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направлена на содействие развитию конкуренции на 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приоритетных и социально значимых рынках Курумканского района, а также осуществление системных мероприятий по развитию конкурентной среды.</w:t>
      </w:r>
    </w:p>
    <w:p w:rsidR="000909FC" w:rsidRPr="00A11960" w:rsidRDefault="000909FC" w:rsidP="002E13FE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0909FC" w:rsidRDefault="00D70DE4" w:rsidP="000909F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3. Состояние конкурентной среды в 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 xml:space="preserve">муниципальном образовании «Курумканский </w:t>
      </w:r>
      <w:r w:rsidRPr="000909FC">
        <w:rPr>
          <w:rFonts w:ascii="Times New Roman" w:hAnsi="Times New Roman" w:cs="Times New Roman"/>
          <w:color w:val="auto"/>
          <w:sz w:val="24"/>
          <w:lang w:val="ru-RU"/>
        </w:rPr>
        <w:t>район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»</w:t>
      </w:r>
    </w:p>
    <w:p w:rsidR="002E38D1" w:rsidRPr="000909FC" w:rsidRDefault="00D70DE4" w:rsidP="000909F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0909FC">
        <w:rPr>
          <w:rFonts w:ascii="Times New Roman" w:hAnsi="Times New Roman" w:cs="Times New Roman"/>
          <w:color w:val="auto"/>
          <w:sz w:val="24"/>
          <w:lang w:val="ru-RU"/>
        </w:rPr>
        <w:t>3.1. Структурные показатели состояния конкуренци</w:t>
      </w:r>
      <w:r w:rsidR="00BA2013" w:rsidRPr="000909FC">
        <w:rPr>
          <w:rFonts w:ascii="Times New Roman" w:hAnsi="Times New Roman" w:cs="Times New Roman"/>
          <w:color w:val="auto"/>
          <w:sz w:val="24"/>
          <w:lang w:val="ru-RU"/>
        </w:rPr>
        <w:t>и в муниципальном образовании «Курумканский район»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конкурентной среды района проведен на ос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нове статистических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данных, результата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мониторинга хозяйствующих субъек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 xml:space="preserve">тов и потребителей товаров (работ, услуг) </w:t>
      </w:r>
      <w:proofErr w:type="spellStart"/>
      <w:r w:rsidR="00BA2013">
        <w:rPr>
          <w:rFonts w:ascii="Times New Roman" w:hAnsi="Times New Roman" w:cs="Times New Roman"/>
          <w:sz w:val="24"/>
          <w:szCs w:val="24"/>
          <w:lang w:val="ru-RU"/>
        </w:rPr>
        <w:t>Курумка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нского</w:t>
      </w:r>
      <w:proofErr w:type="spellEnd"/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райо</w:t>
      </w:r>
      <w:r w:rsidR="00BA2013">
        <w:rPr>
          <w:rFonts w:ascii="Times New Roman" w:hAnsi="Times New Roman" w:cs="Times New Roman"/>
          <w:sz w:val="24"/>
          <w:szCs w:val="24"/>
          <w:lang w:val="ru-RU"/>
        </w:rPr>
        <w:t>на.</w:t>
      </w:r>
    </w:p>
    <w:p w:rsidR="002E38D1" w:rsidRPr="00A11960" w:rsidRDefault="00D70DE4" w:rsidP="000909FC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Одним из основных показателей, отражающих сост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яние конкурентной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среды, является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динамика числа зарегистрированны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х хозяйствующих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субъектов в районе. Согласно данным Террит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B34D8" w:rsidRPr="00A11960">
        <w:rPr>
          <w:rFonts w:ascii="Times New Roman" w:hAnsi="Times New Roman" w:cs="Times New Roman"/>
          <w:sz w:val="24"/>
          <w:szCs w:val="24"/>
          <w:lang w:val="ru-RU"/>
        </w:rPr>
        <w:t>риального органа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Федеральной службы государственной статистики по 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 xml:space="preserve">Республике Бурятия (далее – </w:t>
      </w:r>
      <w:proofErr w:type="spellStart"/>
      <w:r w:rsidR="002B34D8">
        <w:rPr>
          <w:rFonts w:ascii="Times New Roman" w:hAnsi="Times New Roman" w:cs="Times New Roman"/>
          <w:sz w:val="24"/>
          <w:szCs w:val="24"/>
          <w:lang w:val="ru-RU"/>
        </w:rPr>
        <w:t>Бур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>ят</w:t>
      </w:r>
      <w:r w:rsidR="002B34D8">
        <w:rPr>
          <w:rFonts w:ascii="Times New Roman" w:hAnsi="Times New Roman" w:cs="Times New Roman"/>
          <w:sz w:val="24"/>
          <w:szCs w:val="24"/>
          <w:lang w:val="ru-RU"/>
        </w:rPr>
        <w:t>стат</w:t>
      </w:r>
      <w:proofErr w:type="spellEnd"/>
      <w:r w:rsidR="002B34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, по состоянию на 1 января 20</w:t>
      </w:r>
      <w:r w:rsidR="009D37B9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proofErr w:type="spellStart"/>
      <w:r w:rsidR="00D56B2F">
        <w:rPr>
          <w:rFonts w:ascii="Times New Roman" w:hAnsi="Times New Roman" w:cs="Times New Roman"/>
          <w:sz w:val="24"/>
          <w:szCs w:val="24"/>
          <w:lang w:val="ru-RU"/>
        </w:rPr>
        <w:t>Курумканском</w:t>
      </w:r>
      <w:proofErr w:type="spellEnd"/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районе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зарегистрировано </w:t>
      </w:r>
      <w:r w:rsidR="009D37B9">
        <w:rPr>
          <w:rFonts w:ascii="Times New Roman" w:hAnsi="Times New Roman" w:cs="Times New Roman"/>
          <w:sz w:val="24"/>
          <w:szCs w:val="24"/>
          <w:lang w:val="ru-RU"/>
        </w:rPr>
        <w:t>187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предприятий 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>ганизаций) и 2</w:t>
      </w:r>
      <w:r w:rsidR="009D37B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индивидуальных предпринимателей.</w:t>
      </w:r>
    </w:p>
    <w:p w:rsidR="002E38D1" w:rsidRDefault="00D70DE4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 рынках товаров, работ и услуг 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Курумканского района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мечается снижение количества хозяйствующих субъектов 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(Таблица 1).</w:t>
      </w:r>
      <w:r w:rsidR="00D56B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>При этом количество предприятий (организаций) остается практически неизменным, количество индивидуальных предпринимателей снижается значительно (Диаграмма 1).</w:t>
      </w:r>
    </w:p>
    <w:p w:rsidR="00E138AD" w:rsidRDefault="00E138AD" w:rsidP="00E138AD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p w:rsidR="00E138AD" w:rsidRDefault="00B36DB1" w:rsidP="00E138AD">
      <w:pPr>
        <w:pStyle w:val="PreformattedText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="00E138AD">
        <w:rPr>
          <w:rFonts w:ascii="Times New Roman" w:hAnsi="Times New Roman" w:cs="Times New Roman"/>
          <w:sz w:val="24"/>
          <w:szCs w:val="24"/>
          <w:lang w:val="ru-RU"/>
        </w:rPr>
        <w:t xml:space="preserve"> хозяйствующих субъектов в Курумканском районе</w:t>
      </w:r>
    </w:p>
    <w:p w:rsidR="00E138AD" w:rsidRDefault="00E138AD" w:rsidP="00D56B2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144" w:type="dxa"/>
        <w:jc w:val="center"/>
        <w:tblInd w:w="93" w:type="dxa"/>
        <w:tblLook w:val="04A0" w:firstRow="1" w:lastRow="0" w:firstColumn="1" w:lastColumn="0" w:noHBand="0" w:noVBand="1"/>
      </w:tblPr>
      <w:tblGrid>
        <w:gridCol w:w="2100"/>
        <w:gridCol w:w="960"/>
        <w:gridCol w:w="960"/>
        <w:gridCol w:w="960"/>
        <w:gridCol w:w="960"/>
        <w:gridCol w:w="960"/>
        <w:gridCol w:w="714"/>
        <w:gridCol w:w="765"/>
        <w:gridCol w:w="765"/>
      </w:tblGrid>
      <w:tr w:rsidR="00FB61F2" w:rsidRPr="00E138AD" w:rsidTr="00FB61F2">
        <w:trPr>
          <w:trHeight w:val="30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E138AD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1F2" w:rsidRPr="00E138AD" w:rsidRDefault="00FB61F2" w:rsidP="009D37B9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F2" w:rsidRDefault="00FB61F2" w:rsidP="009D37B9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 w:bidi="ar-SA"/>
              </w:rPr>
              <w:t>2019</w:t>
            </w:r>
          </w:p>
        </w:tc>
      </w:tr>
      <w:tr w:rsidR="00FB61F2" w:rsidRPr="00E138AD" w:rsidTr="00FB61F2">
        <w:trPr>
          <w:trHeight w:val="6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Предприятия (организации)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E138AD" w:rsidRDefault="00FB61F2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187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B61F2" w:rsidRDefault="00FB61F2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  <w:tr w:rsidR="00FB61F2" w:rsidRPr="00E138AD" w:rsidTr="00FB61F2">
        <w:trPr>
          <w:trHeight w:val="630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Индивидуальные предприниматели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FB61F2" w:rsidRPr="00E138AD" w:rsidRDefault="00FB61F2" w:rsidP="00E138AD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138AD">
              <w:rPr>
                <w:rFonts w:ascii="Times New Roman" w:eastAsia="Times New Roman" w:hAnsi="Times New Roman" w:cs="Times New Roman"/>
                <w:lang w:val="ru-RU" w:eastAsia="ru-RU" w:bidi="ar-SA"/>
              </w:rPr>
              <w:t>279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</w:tcPr>
          <w:p w:rsidR="00FB61F2" w:rsidRPr="00E138AD" w:rsidRDefault="00FB61F2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210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FB61F2" w:rsidRDefault="00FB61F2" w:rsidP="009D37B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</w:tr>
    </w:tbl>
    <w:p w:rsidR="00B36DB1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E138AD" w:rsidRPr="00A11960" w:rsidRDefault="00B36DB1" w:rsidP="00B36DB1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1</w:t>
      </w:r>
    </w:p>
    <w:p w:rsidR="002E38D1" w:rsidRDefault="00B36DB1" w:rsidP="00B36DB1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Динамика количества хозяйствующих субъектов в Курумканском районе</w:t>
      </w:r>
    </w:p>
    <w:p w:rsidR="00E138AD" w:rsidRDefault="00E138AD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72D9" w:rsidRDefault="009772D9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6DB1" w:rsidRPr="00A11960" w:rsidRDefault="00512F58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2F5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5CD15C39" wp14:editId="66CBEB85">
            <wp:extent cx="6120130" cy="3771627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12F58" w:rsidRDefault="00512F58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79F" w:rsidRDefault="00D70DE4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структуре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хозяйствующих субъектов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по ви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дам экономической деятельности по состоянию на 01.01.2017г.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наибольшие доли з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анимают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розничная торговля (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>27.8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%), </w:t>
      </w:r>
      <w:r w:rsidR="004C2D2D">
        <w:rPr>
          <w:rFonts w:ascii="Times New Roman" w:hAnsi="Times New Roman" w:cs="Times New Roman"/>
          <w:sz w:val="24"/>
          <w:szCs w:val="24"/>
          <w:lang w:val="ru-RU"/>
        </w:rPr>
        <w:t xml:space="preserve">сельское хозяйство (21,2%), </w:t>
      </w:r>
      <w:r w:rsidR="0039279F">
        <w:rPr>
          <w:rFonts w:ascii="Times New Roman" w:hAnsi="Times New Roman" w:cs="Times New Roman"/>
          <w:sz w:val="24"/>
          <w:szCs w:val="24"/>
          <w:lang w:val="ru-RU"/>
        </w:rPr>
        <w:t>остальные виды деятельности занимают менее 10% (Диаграмма 2)</w:t>
      </w:r>
    </w:p>
    <w:p w:rsidR="0039279F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279F" w:rsidRDefault="0039279F" w:rsidP="0039279F">
      <w:pPr>
        <w:pStyle w:val="PreformattedText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2</w:t>
      </w:r>
    </w:p>
    <w:p w:rsidR="002E38D1" w:rsidRPr="00A11960" w:rsidRDefault="0039279F" w:rsidP="0039279F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хозяйствующих субъектов </w:t>
      </w:r>
      <w:r w:rsidRPr="0039279F">
        <w:rPr>
          <w:rFonts w:ascii="Times New Roman" w:hAnsi="Times New Roman" w:cs="Times New Roman"/>
          <w:sz w:val="24"/>
          <w:szCs w:val="24"/>
          <w:lang w:val="ru-RU"/>
        </w:rPr>
        <w:t xml:space="preserve"> по видам экономической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39279F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2822" cy="3328416"/>
            <wp:effectExtent l="38100" t="0" r="1143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38D1" w:rsidRPr="00FB61F2" w:rsidRDefault="00D70DE4" w:rsidP="00B8797F">
      <w:pPr>
        <w:pStyle w:val="2"/>
        <w:jc w:val="center"/>
        <w:rPr>
          <w:rFonts w:ascii="Times New Roman" w:hAnsi="Times New Roman" w:cs="Times New Roman"/>
          <w:color w:val="auto"/>
          <w:sz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lang w:val="ru-RU"/>
        </w:rPr>
        <w:t>3.2. Результаты опросов хозяйствующих субъектов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мнения хозяйствующих субъектов </w:t>
      </w:r>
      <w:r w:rsidR="002425CB" w:rsidRPr="00A11960">
        <w:rPr>
          <w:rFonts w:ascii="Times New Roman" w:hAnsi="Times New Roman" w:cs="Times New Roman"/>
          <w:sz w:val="24"/>
          <w:szCs w:val="24"/>
          <w:lang w:val="ru-RU"/>
        </w:rPr>
        <w:t>и потребителей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вопросам развития конкурентной среды в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Курумканском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районе проведено анкетирование с общей выборкой в</w:t>
      </w:r>
      <w:r w:rsidR="00F15F7E">
        <w:rPr>
          <w:rFonts w:ascii="Times New Roman" w:hAnsi="Times New Roman" w:cs="Times New Roman"/>
          <w:sz w:val="24"/>
          <w:szCs w:val="24"/>
          <w:lang w:val="ru-RU"/>
        </w:rPr>
        <w:t xml:space="preserve"> 46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респондентов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2E38D1" w:rsidRPr="00A11960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Проведенное анкетирование позволило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оценить степень удовлетворенности населения района различными видами услуг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в то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м числе качеством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услуг, ценой и возможностью выбора.</w:t>
      </w:r>
    </w:p>
    <w:p w:rsidR="0010756E" w:rsidRDefault="00D70DE4" w:rsidP="001E12B8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 свидетельствуют, что в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 целом потребители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позитивно оценивают качество продукции (работ, услу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г) производителей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осуществляющих деятельность на рынках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района (Диаграмма </w:t>
      </w:r>
      <w:r w:rsidR="002425C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81C78" w:rsidRPr="00581C78">
        <w:rPr>
          <w:rFonts w:ascii="Times New Roman" w:hAnsi="Times New Roman" w:cs="Times New Roman"/>
          <w:sz w:val="24"/>
          <w:szCs w:val="24"/>
          <w:lang w:val="ru-RU"/>
        </w:rPr>
        <w:t>86,1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>% от числа опрошенных ответили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B5A0C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что удовлетворены и скорее удовлетворены качеством услуг на приоритетных и социально значим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ых </w:t>
      </w:r>
      <w:proofErr w:type="gramStart"/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рынках</w:t>
      </w:r>
      <w:proofErr w:type="gramEnd"/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 xml:space="preserve"> Курумканского района, </w:t>
      </w:r>
      <w:r w:rsidR="00581C78" w:rsidRPr="00581C78">
        <w:rPr>
          <w:rFonts w:ascii="Times New Roman" w:hAnsi="Times New Roman" w:cs="Times New Roman"/>
          <w:sz w:val="24"/>
          <w:szCs w:val="24"/>
          <w:lang w:val="ru-RU"/>
        </w:rPr>
        <w:t>13,9</w:t>
      </w:r>
      <w:r w:rsidR="00E577E8" w:rsidRPr="00581C78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от числа опрошенных ответили, что 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затрудняются ответить по поводу качества</w:t>
      </w:r>
      <w:r w:rsidR="00E577E8">
        <w:rPr>
          <w:rFonts w:ascii="Times New Roman" w:hAnsi="Times New Roman" w:cs="Times New Roman"/>
          <w:sz w:val="24"/>
          <w:szCs w:val="24"/>
          <w:lang w:val="ru-RU"/>
        </w:rPr>
        <w:t xml:space="preserve"> услуг.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 Респонденты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>удовлетворены качеством услуг на рынке услуг жилищно – ком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 xml:space="preserve">мунального хозяйства, услугами образования, а также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1C78">
        <w:rPr>
          <w:rFonts w:ascii="Times New Roman" w:hAnsi="Times New Roman" w:cs="Times New Roman"/>
          <w:sz w:val="24"/>
          <w:szCs w:val="24"/>
          <w:lang w:val="ru-RU"/>
        </w:rPr>
        <w:t>розничной торговлей.</w:t>
      </w:r>
    </w:p>
    <w:p w:rsidR="0010756E" w:rsidRDefault="0010756E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756E" w:rsidRDefault="0010756E" w:rsidP="0010756E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Диаграмма 3 </w:t>
      </w:r>
    </w:p>
    <w:p w:rsidR="0010756E" w:rsidRDefault="0010756E" w:rsidP="0010756E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Уровень удовлетворенности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>качеством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товаров, услуг </w:t>
      </w:r>
      <w:r w:rsidR="005B5A0C">
        <w:rPr>
          <w:rFonts w:ascii="Times New Roman" w:hAnsi="Times New Roman" w:cs="Times New Roman"/>
          <w:sz w:val="24"/>
          <w:szCs w:val="24"/>
          <w:lang w:val="ru-RU"/>
        </w:rPr>
        <w:t xml:space="preserve">на приоритетных и социально значимых рынках </w:t>
      </w:r>
      <w:r>
        <w:rPr>
          <w:rFonts w:ascii="Times New Roman" w:hAnsi="Times New Roman" w:cs="Times New Roman"/>
          <w:sz w:val="24"/>
          <w:szCs w:val="24"/>
          <w:lang w:val="ru-RU"/>
        </w:rPr>
        <w:t>Курумканского района</w:t>
      </w:r>
    </w:p>
    <w:p w:rsidR="0010756E" w:rsidRDefault="00F15F7E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F7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057366" cy="2743200"/>
            <wp:effectExtent l="19050" t="0" r="19584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5A0C" w:rsidRDefault="005B5A0C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577E8" w:rsidRDefault="00E577E8" w:rsidP="00E577E8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4</w:t>
      </w:r>
    </w:p>
    <w:p w:rsidR="005B5A0C" w:rsidRDefault="005B5A0C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Уровень удовлетворенности уровнем цен на рынках товаров, услуг Курумканского района</w:t>
      </w:r>
    </w:p>
    <w:p w:rsidR="00E577E8" w:rsidRDefault="00E577E8" w:rsidP="005B5A0C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0756E" w:rsidRDefault="00F15F7E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F7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055461" cy="2743200"/>
            <wp:effectExtent l="19050" t="0" r="21489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Default="00D70DE4" w:rsidP="00E85B4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оценок респондентов относительно цены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 (работ,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услуг) позволил сделать вывод, что потребители в целом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довольны ценами на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товары, работы и услуги на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приоритетных и социально значимых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рынках </w:t>
      </w:r>
      <w:r w:rsidR="00FF45B6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Курумканского района (Диаграмма 4). </w:t>
      </w:r>
      <w:proofErr w:type="gramStart"/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Так, </w:t>
      </w:r>
      <w:r w:rsidR="006F4CF9" w:rsidRPr="001B44E3">
        <w:rPr>
          <w:rFonts w:ascii="Times New Roman" w:hAnsi="Times New Roman" w:cs="Times New Roman"/>
          <w:sz w:val="24"/>
          <w:szCs w:val="24"/>
          <w:lang w:val="ru-RU"/>
        </w:rPr>
        <w:t>66,9</w:t>
      </w:r>
      <w:r w:rsidR="00B11F8D" w:rsidRPr="001B44E3">
        <w:rPr>
          <w:rFonts w:ascii="Times New Roman" w:hAnsi="Times New Roman" w:cs="Times New Roman"/>
          <w:sz w:val="24"/>
          <w:szCs w:val="24"/>
          <w:lang w:val="ru-RU"/>
        </w:rPr>
        <w:t>% от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 числа опрошенных ответили, что удовлетворены и скорее удовлетворены ценами товаров, работ, услуг на приоритетных и социально значимых</w:t>
      </w:r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рынках </w:t>
      </w:r>
      <w:proofErr w:type="spellStart"/>
      <w:r w:rsidR="006F4CF9">
        <w:rPr>
          <w:rFonts w:ascii="Times New Roman" w:hAnsi="Times New Roman" w:cs="Times New Roman"/>
          <w:sz w:val="24"/>
          <w:szCs w:val="24"/>
          <w:lang w:val="ru-RU"/>
        </w:rPr>
        <w:t>Курумканского</w:t>
      </w:r>
      <w:proofErr w:type="spellEnd"/>
      <w:r w:rsidR="006F4CF9">
        <w:rPr>
          <w:rFonts w:ascii="Times New Roman" w:hAnsi="Times New Roman" w:cs="Times New Roman"/>
          <w:sz w:val="24"/>
          <w:szCs w:val="24"/>
          <w:lang w:val="ru-RU"/>
        </w:rPr>
        <w:t xml:space="preserve"> района, 18,3</w:t>
      </w:r>
      <w:r w:rsidR="00B11F8D">
        <w:rPr>
          <w:rFonts w:ascii="Times New Roman" w:hAnsi="Times New Roman" w:cs="Times New Roman"/>
          <w:sz w:val="24"/>
          <w:szCs w:val="24"/>
          <w:lang w:val="ru-RU"/>
        </w:rPr>
        <w:t>% от числа опрошенных ответили, что не удовлетворены и скорее не удовлетворены ценами товаров, работ, услуг.</w:t>
      </w:r>
      <w:proofErr w:type="gramEnd"/>
      <w:r w:rsidR="00B11F8D">
        <w:rPr>
          <w:rFonts w:ascii="Times New Roman" w:hAnsi="Times New Roman" w:cs="Times New Roman"/>
          <w:sz w:val="24"/>
          <w:szCs w:val="24"/>
          <w:lang w:val="ru-RU"/>
        </w:rPr>
        <w:t xml:space="preserve"> Так,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14,8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% от числа респондентов считают завышенными 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>цен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AA7A0F">
        <w:rPr>
          <w:rFonts w:ascii="Times New Roman" w:hAnsi="Times New Roman" w:cs="Times New Roman"/>
          <w:sz w:val="24"/>
          <w:szCs w:val="24"/>
          <w:lang w:val="ru-RU"/>
        </w:rPr>
        <w:t xml:space="preserve"> на рынках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услуг перевозки п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ассажиров наземным транспортом и</w:t>
      </w:r>
      <w:r w:rsidR="00E85B42">
        <w:rPr>
          <w:rFonts w:ascii="Times New Roman" w:hAnsi="Times New Roman" w:cs="Times New Roman"/>
          <w:sz w:val="24"/>
          <w:szCs w:val="24"/>
          <w:lang w:val="ru-RU"/>
        </w:rPr>
        <w:t xml:space="preserve"> розничной торговли.</w:t>
      </w:r>
    </w:p>
    <w:p w:rsidR="00E85B42" w:rsidRPr="00A11960" w:rsidRDefault="00E85B42" w:rsidP="00E85B42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Возможностью выбора удовлетворены потребители</w:t>
      </w:r>
      <w:r w:rsidR="00AC36BF">
        <w:rPr>
          <w:rFonts w:ascii="Times New Roman" w:hAnsi="Times New Roman" w:cs="Times New Roman"/>
          <w:sz w:val="24"/>
          <w:szCs w:val="24"/>
          <w:lang w:val="ru-RU"/>
        </w:rPr>
        <w:t xml:space="preserve"> рынков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услуг образования, рынком услуг перевозки пассажиров наземным транспортом и рынком</w:t>
      </w:r>
      <w:r w:rsidR="00AC36BF">
        <w:rPr>
          <w:rFonts w:ascii="Times New Roman" w:hAnsi="Times New Roman" w:cs="Times New Roman"/>
          <w:sz w:val="24"/>
          <w:szCs w:val="24"/>
          <w:lang w:val="ru-RU"/>
        </w:rPr>
        <w:t xml:space="preserve"> розничной торговли,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в сфере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AC36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44E3">
        <w:rPr>
          <w:rFonts w:ascii="Times New Roman" w:hAnsi="Times New Roman" w:cs="Times New Roman"/>
          <w:sz w:val="24"/>
          <w:szCs w:val="24"/>
          <w:lang w:val="ru-RU"/>
        </w:rPr>
        <w:t>– 14,8</w:t>
      </w:r>
      <w:r w:rsidR="00761E57">
        <w:rPr>
          <w:rFonts w:ascii="Times New Roman" w:hAnsi="Times New Roman" w:cs="Times New Roman"/>
          <w:sz w:val="24"/>
          <w:szCs w:val="24"/>
          <w:lang w:val="ru-RU"/>
        </w:rPr>
        <w:t xml:space="preserve">% от числа опрошенных ответили «удовлетворены» и «скорее удовлетворены»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(Диаграмма </w:t>
      </w:r>
      <w:r w:rsidR="00AC36B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AC36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4813" w:rsidRDefault="00B74813" w:rsidP="00B7481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Диаграмма 5</w:t>
      </w:r>
    </w:p>
    <w:p w:rsidR="00B74813" w:rsidRDefault="00B74813" w:rsidP="00B74813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Удовлетворенность возможностью выбора</w:t>
      </w:r>
    </w:p>
    <w:p w:rsidR="00B74813" w:rsidRDefault="00B74813" w:rsidP="00B7481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81C78" w:rsidRDefault="00581C78" w:rsidP="00B7481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81C78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71819" cy="2743200"/>
            <wp:effectExtent l="19050" t="0" r="19431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4813" w:rsidRPr="00A11960" w:rsidRDefault="00B74813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797F" w:rsidRPr="00FB61F2" w:rsidRDefault="00B8797F" w:rsidP="00FB61F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3.3. Характеристика состояния конкуренции на приоритетных и социально значимых рынках </w:t>
      </w:r>
      <w:proofErr w:type="spellStart"/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>Курумканского</w:t>
      </w:r>
      <w:proofErr w:type="spellEnd"/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района в 201</w:t>
      </w:r>
      <w:r w:rsidR="00C51494"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>9</w:t>
      </w:r>
      <w:r w:rsidRPr="00FB61F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году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797F" w:rsidRPr="00B8797F" w:rsidRDefault="00B8797F" w:rsidP="00B8797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B8797F">
        <w:rPr>
          <w:lang w:val="ru-RU" w:eastAsia="en-US"/>
        </w:rPr>
        <w:t>Распоряжение Администрации МО «</w:t>
      </w:r>
      <w:proofErr w:type="spellStart"/>
      <w:r w:rsidRPr="00B8797F">
        <w:rPr>
          <w:lang w:val="ru-RU" w:eastAsia="en-US"/>
        </w:rPr>
        <w:t>Курумканский</w:t>
      </w:r>
      <w:proofErr w:type="spellEnd"/>
      <w:r w:rsidRPr="00B8797F">
        <w:rPr>
          <w:lang w:val="ru-RU" w:eastAsia="en-US"/>
        </w:rPr>
        <w:t xml:space="preserve"> район от </w:t>
      </w:r>
      <w:r w:rsidR="003417F2" w:rsidRPr="003417F2">
        <w:rPr>
          <w:lang w:val="ru-RU" w:eastAsia="en-US"/>
        </w:rPr>
        <w:t>23</w:t>
      </w:r>
      <w:r w:rsidRPr="00B8797F">
        <w:rPr>
          <w:lang w:val="ru-RU" w:eastAsia="en-US"/>
        </w:rPr>
        <w:t>.0</w:t>
      </w:r>
      <w:r w:rsidR="003417F2" w:rsidRPr="003417F2">
        <w:rPr>
          <w:lang w:val="ru-RU" w:eastAsia="en-US"/>
        </w:rPr>
        <w:t>9</w:t>
      </w:r>
      <w:r w:rsidRPr="00B8797F">
        <w:rPr>
          <w:lang w:val="ru-RU" w:eastAsia="en-US"/>
        </w:rPr>
        <w:t>.201</w:t>
      </w:r>
      <w:r w:rsidR="003417F2" w:rsidRPr="003417F2">
        <w:rPr>
          <w:lang w:val="ru-RU" w:eastAsia="en-US"/>
        </w:rPr>
        <w:t>9</w:t>
      </w:r>
      <w:r w:rsidRPr="00B8797F">
        <w:rPr>
          <w:lang w:val="ru-RU" w:eastAsia="en-US"/>
        </w:rPr>
        <w:t>г. №</w:t>
      </w:r>
      <w:r w:rsidR="003417F2" w:rsidRPr="003417F2">
        <w:rPr>
          <w:lang w:val="ru-RU" w:eastAsia="en-US"/>
        </w:rPr>
        <w:t>521</w:t>
      </w:r>
      <w:r w:rsidRPr="00B8797F">
        <w:rPr>
          <w:rFonts w:ascii="Times New Roman" w:hAnsi="Times New Roman"/>
          <w:szCs w:val="28"/>
          <w:lang w:val="ru-RU"/>
        </w:rPr>
        <w:t xml:space="preserve"> утвержден перечень приоритетных и социально-значимых рынков</w:t>
      </w:r>
      <w:r w:rsidRPr="00B8797F">
        <w:rPr>
          <w:bCs/>
          <w:sz w:val="26"/>
          <w:lang w:val="ru-RU"/>
        </w:rPr>
        <w:t xml:space="preserve"> </w:t>
      </w:r>
      <w:r w:rsidRPr="00B8797F">
        <w:rPr>
          <w:rFonts w:ascii="Times New Roman" w:hAnsi="Times New Roman"/>
          <w:szCs w:val="28"/>
          <w:lang w:val="ru-RU"/>
        </w:rPr>
        <w:t xml:space="preserve">для содействия развитию конкуренции в </w:t>
      </w:r>
      <w:r>
        <w:rPr>
          <w:rFonts w:ascii="Times New Roman" w:hAnsi="Times New Roman"/>
          <w:szCs w:val="28"/>
          <w:lang w:val="ru-RU"/>
        </w:rPr>
        <w:t>Курумканском районе</w:t>
      </w:r>
      <w:r w:rsidRPr="00B8797F">
        <w:rPr>
          <w:rFonts w:ascii="Times New Roman" w:hAnsi="Times New Roman"/>
          <w:szCs w:val="28"/>
          <w:lang w:val="ru-RU"/>
        </w:rPr>
        <w:t>, который включает:</w:t>
      </w:r>
    </w:p>
    <w:p w:rsidR="00B8797F" w:rsidRPr="00B8797F" w:rsidRDefault="00B8797F" w:rsidP="00FB61F2">
      <w:pPr>
        <w:pStyle w:val="31"/>
        <w:spacing w:line="240" w:lineRule="auto"/>
        <w:ind w:firstLine="709"/>
        <w:rPr>
          <w:rFonts w:eastAsiaTheme="minorEastAsia" w:cstheme="minorBidi"/>
          <w:snapToGrid/>
          <w:sz w:val="24"/>
          <w:szCs w:val="28"/>
        </w:rPr>
      </w:pPr>
      <w:r w:rsidRPr="00B8797F">
        <w:rPr>
          <w:rFonts w:eastAsiaTheme="minorEastAsia" w:cstheme="minorBidi"/>
          <w:snapToGrid/>
          <w:sz w:val="24"/>
          <w:szCs w:val="28"/>
        </w:rPr>
        <w:t xml:space="preserve">1. Рынок </w:t>
      </w:r>
      <w:r w:rsidR="003417F2">
        <w:rPr>
          <w:rFonts w:eastAsiaTheme="minorEastAsia" w:cstheme="minorBidi"/>
          <w:snapToGrid/>
          <w:sz w:val="24"/>
          <w:szCs w:val="28"/>
        </w:rPr>
        <w:t>услуг розничной торговли лекарственными препаратами, медицинскими изделиями и сопутствующими товарами</w:t>
      </w:r>
      <w:r w:rsidRPr="00B8797F">
        <w:rPr>
          <w:rFonts w:eastAsiaTheme="minorEastAsia" w:cstheme="minorBidi"/>
          <w:snapToGrid/>
          <w:sz w:val="24"/>
          <w:szCs w:val="28"/>
        </w:rPr>
        <w:t>.</w:t>
      </w:r>
    </w:p>
    <w:p w:rsidR="00B8797F" w:rsidRPr="00B8797F" w:rsidRDefault="00B8797F" w:rsidP="00FB61F2">
      <w:pPr>
        <w:pStyle w:val="31"/>
        <w:spacing w:line="240" w:lineRule="auto"/>
        <w:ind w:firstLine="709"/>
        <w:rPr>
          <w:bCs/>
          <w:sz w:val="24"/>
        </w:rPr>
      </w:pPr>
      <w:r>
        <w:rPr>
          <w:bCs/>
          <w:sz w:val="24"/>
        </w:rPr>
        <w:t>2</w:t>
      </w:r>
      <w:r w:rsidRPr="00B8797F">
        <w:rPr>
          <w:bCs/>
          <w:sz w:val="24"/>
        </w:rPr>
        <w:t xml:space="preserve">. Рынок </w:t>
      </w:r>
      <w:r w:rsidR="003417F2">
        <w:rPr>
          <w:bCs/>
          <w:sz w:val="24"/>
        </w:rPr>
        <w:t>ритуальных услуг</w:t>
      </w:r>
      <w:r w:rsidRPr="00B8797F">
        <w:rPr>
          <w:bCs/>
          <w:sz w:val="24"/>
        </w:rPr>
        <w:t>.</w:t>
      </w:r>
    </w:p>
    <w:p w:rsidR="00B8797F" w:rsidRDefault="00B8797F" w:rsidP="00FB61F2">
      <w:pPr>
        <w:pStyle w:val="31"/>
        <w:spacing w:line="240" w:lineRule="auto"/>
        <w:ind w:firstLine="709"/>
        <w:rPr>
          <w:bCs/>
          <w:sz w:val="24"/>
        </w:rPr>
      </w:pPr>
      <w:r>
        <w:rPr>
          <w:bCs/>
          <w:sz w:val="24"/>
        </w:rPr>
        <w:t>3</w:t>
      </w:r>
      <w:r w:rsidRPr="00B8797F">
        <w:rPr>
          <w:bCs/>
          <w:sz w:val="24"/>
        </w:rPr>
        <w:t xml:space="preserve">. Рынок </w:t>
      </w:r>
      <w:r w:rsidR="003417F2">
        <w:rPr>
          <w:bCs/>
          <w:sz w:val="24"/>
        </w:rPr>
        <w:t>теплоснабжения (производство тепловой энергии)</w:t>
      </w:r>
      <w:r w:rsidRPr="00B8797F">
        <w:rPr>
          <w:bCs/>
          <w:sz w:val="24"/>
        </w:rPr>
        <w:t>.</w:t>
      </w:r>
    </w:p>
    <w:p w:rsidR="003417F2" w:rsidRPr="003417F2" w:rsidRDefault="00B8797F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bCs/>
          <w:lang w:val="ru-RU"/>
        </w:rPr>
        <w:t xml:space="preserve">4. </w:t>
      </w:r>
      <w:r w:rsidR="003417F2" w:rsidRPr="003417F2">
        <w:rPr>
          <w:lang w:val="ru-RU"/>
        </w:rPr>
        <w:t>Рынок услуг по сбору и транспортированию твердых коммунальных отходов.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5. Рынок выполнения работ по благоустройству городской среды.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6. Рынок выполнения работ по содержанию и текущему ремонту общего имущества собственников помещений в многоквартирном доме.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7. Рынок оказания услуг по перевозке пассажиров автомобильным транспортом по муниципальным маршрутам регулярных перевозок.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8. Рынок оказания услуг по перевозке пассажиров и багажа легковым такси.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9. Рынок оказания услуг по ремонту автотранспортных средств.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10. 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11. Рынок жилищного строительства (за исключением индивидуального жилищного строительства).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12. Рынок строительства объектов капитального строительства, за исключением жилищного и дорожного строительства.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13. Рынок дорожной деятельности (за исключением проектирования).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14. Рынок реализации сельскохозяйственной продукции.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15. Рынок племенного животноводства.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 xml:space="preserve">16. Рынок нефтепродуктов </w:t>
      </w:r>
    </w:p>
    <w:p w:rsidR="003417F2" w:rsidRPr="003417F2" w:rsidRDefault="003417F2" w:rsidP="00FB61F2">
      <w:pPr>
        <w:autoSpaceDE w:val="0"/>
        <w:autoSpaceDN w:val="0"/>
        <w:ind w:firstLine="709"/>
        <w:jc w:val="both"/>
        <w:rPr>
          <w:lang w:val="ru-RU"/>
        </w:rPr>
      </w:pPr>
      <w:r w:rsidRPr="003417F2">
        <w:rPr>
          <w:lang w:val="ru-RU"/>
        </w:rPr>
        <w:t>17. Рынок обработки древесины и производства изделий из дерева.</w:t>
      </w:r>
    </w:p>
    <w:p w:rsidR="00FB61F2" w:rsidRDefault="00FB61F2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FB61F2" w:rsidRDefault="00D70DE4" w:rsidP="00FB61F2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B61F2">
        <w:rPr>
          <w:rFonts w:ascii="Times New Roman" w:hAnsi="Times New Roman" w:cs="Times New Roman"/>
          <w:b/>
          <w:sz w:val="24"/>
          <w:szCs w:val="24"/>
          <w:lang w:val="ru-RU"/>
        </w:rPr>
        <w:t>4. Выводы и планируемые действия по развитию конкуренции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Результаты мониторинга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свидетельствуют, что в целом потребители позитивно оценивают качество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продукции (работ, услуг) производителей, осуществляющих деятельность на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социально-значимых рынках 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района; потребители в целом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довольны качеством товаров, работ и услуг на рынках, однако, считают цены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на некоторых из них </w:t>
      </w:r>
      <w:proofErr w:type="gramStart"/>
      <w:r w:rsidRPr="00A11960">
        <w:rPr>
          <w:rFonts w:ascii="Times New Roman" w:hAnsi="Times New Roman" w:cs="Times New Roman"/>
          <w:sz w:val="24"/>
          <w:szCs w:val="24"/>
          <w:lang w:val="ru-RU"/>
        </w:rPr>
        <w:t>завышенными</w:t>
      </w:r>
      <w:proofErr w:type="gramEnd"/>
      <w:r w:rsidRPr="00A119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Анализ ситуации показал, что существует ряд барьеров, затрудняющих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деятельность хозяйствующих субъектов на рынках </w:t>
      </w:r>
      <w:r w:rsidR="006A5B3F">
        <w:rPr>
          <w:rFonts w:ascii="Times New Roman" w:hAnsi="Times New Roman" w:cs="Times New Roman"/>
          <w:sz w:val="24"/>
          <w:szCs w:val="24"/>
          <w:lang w:val="ru-RU"/>
        </w:rPr>
        <w:t xml:space="preserve">Курумканского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Прежде всего, это такие административные барьеры как: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 получения доступа к земельным участкам;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нестабильность российского законодательства, регулирующего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предпринимательскую деятельность;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сложность/ затянутость процедуры получения лицензий, разрешений;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высокие налоги;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- судебная система.</w:t>
      </w:r>
    </w:p>
    <w:p w:rsidR="002E38D1" w:rsidRPr="00A11960" w:rsidRDefault="002E38D1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С учетом результатов мониторинга будут актуализироваться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мероприятия «Дорожной карты».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4.2. Основные достижения по развитию конкуренции в районе за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отчётный период</w:t>
      </w:r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Результатом работы по развитию конкуренции в 201</w:t>
      </w:r>
      <w:r w:rsidR="00B8532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B853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стало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то, что все запланированные мероприятия и показатели «Дорожной карты» за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B8532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 год выполнены.</w:t>
      </w:r>
    </w:p>
    <w:p w:rsidR="002E38D1" w:rsidRPr="00A11960" w:rsidRDefault="00D70DE4" w:rsidP="00FB61F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1960">
        <w:rPr>
          <w:rFonts w:ascii="Times New Roman" w:hAnsi="Times New Roman" w:cs="Times New Roman"/>
          <w:sz w:val="24"/>
          <w:szCs w:val="24"/>
          <w:lang w:val="ru-RU"/>
        </w:rPr>
        <w:t>На официальном сайте администрации муниципального</w:t>
      </w:r>
      <w:r w:rsidR="003417F2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«</w:t>
      </w:r>
      <w:proofErr w:type="spellStart"/>
      <w:r w:rsidR="003417F2">
        <w:rPr>
          <w:rFonts w:ascii="Times New Roman" w:hAnsi="Times New Roman" w:cs="Times New Roman"/>
          <w:sz w:val="24"/>
          <w:szCs w:val="24"/>
          <w:lang w:val="ru-RU"/>
        </w:rPr>
        <w:t>Курумканский</w:t>
      </w:r>
      <w:proofErr w:type="spellEnd"/>
      <w:r w:rsidR="003417F2">
        <w:rPr>
          <w:rFonts w:ascii="Times New Roman" w:hAnsi="Times New Roman" w:cs="Times New Roman"/>
          <w:sz w:val="24"/>
          <w:szCs w:val="24"/>
          <w:lang w:val="ru-RU"/>
        </w:rPr>
        <w:t xml:space="preserve"> район»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района создан специальный раздел «Развитие конкур</w:t>
      </w:r>
      <w:r w:rsidR="003417F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нции», в котором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 xml:space="preserve">размещены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lastRenderedPageBreak/>
        <w:t>нормативно—правовые акты федерального, регионального и</w:t>
      </w:r>
      <w:r w:rsidR="00FB6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ru-RU"/>
        </w:rPr>
        <w:t>местного уровня, а также, документы по вопросам развития конкуренции,</w:t>
      </w:r>
      <w:bookmarkStart w:id="0" w:name="_GoBack"/>
      <w:bookmarkEnd w:id="0"/>
    </w:p>
    <w:p w:rsidR="002E38D1" w:rsidRPr="00A11960" w:rsidRDefault="002E38D1" w:rsidP="001E12B8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E38D1" w:rsidRPr="00A11960" w:rsidSect="003E6013"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D1"/>
    <w:rsid w:val="000909FC"/>
    <w:rsid w:val="000C5203"/>
    <w:rsid w:val="000F0CCF"/>
    <w:rsid w:val="0010756E"/>
    <w:rsid w:val="00134237"/>
    <w:rsid w:val="001725E0"/>
    <w:rsid w:val="001B44E3"/>
    <w:rsid w:val="001D0229"/>
    <w:rsid w:val="001E12B8"/>
    <w:rsid w:val="002425CB"/>
    <w:rsid w:val="00291E62"/>
    <w:rsid w:val="002B34D8"/>
    <w:rsid w:val="002E13FE"/>
    <w:rsid w:val="002E38D1"/>
    <w:rsid w:val="00337D8B"/>
    <w:rsid w:val="003417F2"/>
    <w:rsid w:val="003545C3"/>
    <w:rsid w:val="0039279F"/>
    <w:rsid w:val="003E6013"/>
    <w:rsid w:val="00473E8B"/>
    <w:rsid w:val="00485E4F"/>
    <w:rsid w:val="004C2D2D"/>
    <w:rsid w:val="00512F58"/>
    <w:rsid w:val="00541B0E"/>
    <w:rsid w:val="00581C78"/>
    <w:rsid w:val="005B5A0C"/>
    <w:rsid w:val="00632A50"/>
    <w:rsid w:val="00644929"/>
    <w:rsid w:val="00692AB4"/>
    <w:rsid w:val="006A5B3F"/>
    <w:rsid w:val="006F4CF9"/>
    <w:rsid w:val="00761E57"/>
    <w:rsid w:val="007B4DFD"/>
    <w:rsid w:val="00894657"/>
    <w:rsid w:val="008A61E4"/>
    <w:rsid w:val="00904A6C"/>
    <w:rsid w:val="009772D9"/>
    <w:rsid w:val="009A1971"/>
    <w:rsid w:val="009D37B9"/>
    <w:rsid w:val="00A11960"/>
    <w:rsid w:val="00A505C0"/>
    <w:rsid w:val="00AA7A0F"/>
    <w:rsid w:val="00AC36BF"/>
    <w:rsid w:val="00AD7EAD"/>
    <w:rsid w:val="00B11F8D"/>
    <w:rsid w:val="00B14ABB"/>
    <w:rsid w:val="00B36DB1"/>
    <w:rsid w:val="00B55374"/>
    <w:rsid w:val="00B74813"/>
    <w:rsid w:val="00B85322"/>
    <w:rsid w:val="00B8797F"/>
    <w:rsid w:val="00BA2013"/>
    <w:rsid w:val="00BD39DB"/>
    <w:rsid w:val="00BE3559"/>
    <w:rsid w:val="00BF3B75"/>
    <w:rsid w:val="00C25C63"/>
    <w:rsid w:val="00C51494"/>
    <w:rsid w:val="00C60D5C"/>
    <w:rsid w:val="00D56B2F"/>
    <w:rsid w:val="00D70DE4"/>
    <w:rsid w:val="00D81F90"/>
    <w:rsid w:val="00E030B9"/>
    <w:rsid w:val="00E138AD"/>
    <w:rsid w:val="00E556CD"/>
    <w:rsid w:val="00E577E8"/>
    <w:rsid w:val="00E85B42"/>
    <w:rsid w:val="00F15F7E"/>
    <w:rsid w:val="00F80D9D"/>
    <w:rsid w:val="00FB61F2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7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8797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879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1E12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DB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36DB1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B8797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 Spacing"/>
    <w:uiPriority w:val="1"/>
    <w:qFormat/>
    <w:rsid w:val="00B8797F"/>
    <w:pPr>
      <w:widowControl w:val="0"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31">
    <w:name w:val="Обычный3"/>
    <w:rsid w:val="00B8797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ru-RU" w:eastAsia="ru-RU" w:bidi="ar-SA"/>
    </w:rPr>
  </w:style>
  <w:style w:type="character" w:customStyle="1" w:styleId="aa">
    <w:name w:val="Абзац списка Знак"/>
    <w:basedOn w:val="a0"/>
    <w:link w:val="ab"/>
    <w:uiPriority w:val="34"/>
    <w:locked/>
    <w:rsid w:val="00632A50"/>
  </w:style>
  <w:style w:type="paragraph" w:styleId="ab">
    <w:name w:val="List Paragraph"/>
    <w:basedOn w:val="a"/>
    <w:link w:val="aa"/>
    <w:uiPriority w:val="34"/>
    <w:qFormat/>
    <w:rsid w:val="00632A50"/>
    <w:pPr>
      <w:widowControl/>
      <w:spacing w:after="200" w:line="276" w:lineRule="auto"/>
      <w:ind w:left="720"/>
      <w:contextualSpacing/>
    </w:pPr>
  </w:style>
  <w:style w:type="paragraph" w:customStyle="1" w:styleId="21">
    <w:name w:val="Обычный2"/>
    <w:rsid w:val="003417F2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 w:val="22"/>
      <w:szCs w:val="20"/>
      <w:lang w:val="ru-RU" w:eastAsia="ru-RU" w:bidi="ar-SA"/>
    </w:rPr>
  </w:style>
  <w:style w:type="character" w:styleId="ac">
    <w:name w:val="FollowedHyperlink"/>
    <w:basedOn w:val="a0"/>
    <w:uiPriority w:val="99"/>
    <w:semiHidden/>
    <w:unhideWhenUsed/>
    <w:rsid w:val="00090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7F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B8797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B879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character" w:styleId="a6">
    <w:name w:val="Hyperlink"/>
    <w:basedOn w:val="a0"/>
    <w:uiPriority w:val="99"/>
    <w:unhideWhenUsed/>
    <w:rsid w:val="001E12B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6DB1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36DB1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B8797F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a9">
    <w:name w:val="No Spacing"/>
    <w:uiPriority w:val="1"/>
    <w:qFormat/>
    <w:rsid w:val="00B8797F"/>
    <w:pPr>
      <w:widowControl w:val="0"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customStyle="1" w:styleId="30">
    <w:name w:val="Заголовок 3 Знак"/>
    <w:basedOn w:val="a0"/>
    <w:link w:val="3"/>
    <w:uiPriority w:val="9"/>
    <w:rsid w:val="00B8797F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31">
    <w:name w:val="Обычный3"/>
    <w:rsid w:val="00B8797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val="ru-RU" w:eastAsia="ru-RU" w:bidi="ar-SA"/>
    </w:rPr>
  </w:style>
  <w:style w:type="character" w:customStyle="1" w:styleId="aa">
    <w:name w:val="Абзац списка Знак"/>
    <w:basedOn w:val="a0"/>
    <w:link w:val="ab"/>
    <w:uiPriority w:val="34"/>
    <w:locked/>
    <w:rsid w:val="00632A50"/>
  </w:style>
  <w:style w:type="paragraph" w:styleId="ab">
    <w:name w:val="List Paragraph"/>
    <w:basedOn w:val="a"/>
    <w:link w:val="aa"/>
    <w:uiPriority w:val="34"/>
    <w:qFormat/>
    <w:rsid w:val="00632A50"/>
    <w:pPr>
      <w:widowControl/>
      <w:spacing w:after="200" w:line="276" w:lineRule="auto"/>
      <w:ind w:left="720"/>
      <w:contextualSpacing/>
    </w:pPr>
  </w:style>
  <w:style w:type="paragraph" w:customStyle="1" w:styleId="21">
    <w:name w:val="Обычный2"/>
    <w:rsid w:val="003417F2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z w:val="22"/>
      <w:szCs w:val="20"/>
      <w:lang w:val="ru-RU" w:eastAsia="ru-RU" w:bidi="ar-SA"/>
    </w:rPr>
  </w:style>
  <w:style w:type="character" w:styleId="ac">
    <w:name w:val="FollowedHyperlink"/>
    <w:basedOn w:val="a0"/>
    <w:uiPriority w:val="99"/>
    <w:semiHidden/>
    <w:unhideWhenUsed/>
    <w:rsid w:val="00090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0533090787222"/>
          <c:y val="5.7209450940201766E-2"/>
          <c:w val="0.60923133985715994"/>
          <c:h val="0.7440771200114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предприятия (организации)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215</c:v>
                </c:pt>
                <c:pt idx="1">
                  <c:v>210</c:v>
                </c:pt>
                <c:pt idx="2">
                  <c:v>204</c:v>
                </c:pt>
                <c:pt idx="3">
                  <c:v>204</c:v>
                </c:pt>
                <c:pt idx="4">
                  <c:v>208</c:v>
                </c:pt>
                <c:pt idx="5">
                  <c:v>206</c:v>
                </c:pt>
                <c:pt idx="6">
                  <c:v>187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594</c:v>
                </c:pt>
                <c:pt idx="1">
                  <c:v>489</c:v>
                </c:pt>
                <c:pt idx="2">
                  <c:v>346</c:v>
                </c:pt>
                <c:pt idx="3">
                  <c:v>343</c:v>
                </c:pt>
                <c:pt idx="4">
                  <c:v>293</c:v>
                </c:pt>
                <c:pt idx="5">
                  <c:v>279</c:v>
                </c:pt>
                <c:pt idx="6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744064"/>
        <c:axId val="276745600"/>
      </c:barChart>
      <c:catAx>
        <c:axId val="27674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6745600"/>
        <c:crosses val="autoZero"/>
        <c:auto val="1"/>
        <c:lblAlgn val="ctr"/>
        <c:lblOffset val="100"/>
        <c:noMultiLvlLbl val="0"/>
      </c:catAx>
      <c:valAx>
        <c:axId val="276745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276744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 baseline="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959692062942071E-3"/>
          <c:y val="0.13248046110049166"/>
          <c:w val="0.51798050041420673"/>
          <c:h val="0.75114865931290897"/>
        </c:manualLayout>
      </c:layout>
      <c:pie3DChart>
        <c:varyColors val="1"/>
        <c:ser>
          <c:idx val="0"/>
          <c:order val="0"/>
          <c:cat>
            <c:strRef>
              <c:f>Лист2!$C$2:$S$2</c:f>
              <c:strCache>
                <c:ptCount val="17"/>
                <c:pt idx="0">
                  <c:v>Оптовая розничная торговля, ремонт автотрансп. средств, мотоциклов, бытовых изделий и предметов личного пользования</c:v>
                </c:pt>
                <c:pt idx="1">
                  <c:v>Сельское хозяйство, охота и лесное хозяйство</c:v>
                </c:pt>
                <c:pt idx="2">
                  <c:v>Промышленность</c:v>
                </c:pt>
                <c:pt idx="3">
                  <c:v>Транспорт и связь</c:v>
                </c:pt>
                <c:pt idx="4">
                  <c:v>Обрабатывающие производства</c:v>
                </c:pt>
                <c:pt idx="5">
                  <c:v>Государственное управление и обеспечение военной безопасности обязательное социальное обеспечение</c:v>
                </c:pt>
                <c:pt idx="6">
                  <c:v>Образование</c:v>
                </c:pt>
                <c:pt idx="7">
                  <c:v>Предоставление прочих коммунальных услуг</c:v>
                </c:pt>
                <c:pt idx="8">
                  <c:v>Строительство</c:v>
                </c:pt>
                <c:pt idx="9">
                  <c:v>Гостиницы и рестораны</c:v>
                </c:pt>
                <c:pt idx="10">
                  <c:v>Операции с недвижимым имуществом, аренда и предоставление услуг</c:v>
                </c:pt>
                <c:pt idx="11">
                  <c:v>Здравоохранение и предоставление социальных услуг</c:v>
                </c:pt>
                <c:pt idx="12">
                  <c:v>Проиpводство и распределение электроэнергии, газа и воды</c:v>
                </c:pt>
                <c:pt idx="13">
                  <c:v>Рыболовство, рыбоводство</c:v>
                </c:pt>
                <c:pt idx="14">
                  <c:v>Добыча полезных ископаемых</c:v>
                </c:pt>
                <c:pt idx="15">
                  <c:v>Финансовая деятельность</c:v>
                </c:pt>
                <c:pt idx="16">
                  <c:v>Предоставление услуг по ведению домашнего хозяйства</c:v>
                </c:pt>
              </c:strCache>
            </c:strRef>
          </c:cat>
          <c:val>
            <c:numRef>
              <c:f>Лист2!$C$3:$S$3</c:f>
              <c:numCache>
                <c:formatCode>0.00%</c:formatCode>
                <c:ptCount val="17"/>
                <c:pt idx="0">
                  <c:v>0.27835051546391759</c:v>
                </c:pt>
                <c:pt idx="1">
                  <c:v>0.21237113402061855</c:v>
                </c:pt>
                <c:pt idx="2">
                  <c:v>9.2783505154639206E-2</c:v>
                </c:pt>
                <c:pt idx="3">
                  <c:v>7.8350515463917525E-2</c:v>
                </c:pt>
                <c:pt idx="4">
                  <c:v>7.4226804123711354E-2</c:v>
                </c:pt>
                <c:pt idx="5">
                  <c:v>6.804123711340207E-2</c:v>
                </c:pt>
                <c:pt idx="6">
                  <c:v>6.1855670103092793E-2</c:v>
                </c:pt>
                <c:pt idx="7">
                  <c:v>6.1855670103092793E-2</c:v>
                </c:pt>
                <c:pt idx="8">
                  <c:v>5.1546391752577317E-2</c:v>
                </c:pt>
                <c:pt idx="9">
                  <c:v>3.7113402061855677E-2</c:v>
                </c:pt>
                <c:pt idx="10">
                  <c:v>3.2989690721649492E-2</c:v>
                </c:pt>
                <c:pt idx="11">
                  <c:v>1.2371134020618558E-2</c:v>
                </c:pt>
                <c:pt idx="12">
                  <c:v>1.2371134020618558E-2</c:v>
                </c:pt>
                <c:pt idx="13">
                  <c:v>4.1237113402061857E-3</c:v>
                </c:pt>
                <c:pt idx="14">
                  <c:v>6.1855670103092789E-3</c:v>
                </c:pt>
                <c:pt idx="15">
                  <c:v>8.2474226804123696E-3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5"/>
        <c:txPr>
          <a:bodyPr/>
          <a:lstStyle/>
          <a:p>
            <a:pPr rtl="0">
              <a:defRPr sz="990" kern="0" baseline="0">
                <a:latin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1876569333552414"/>
          <c:y val="3.5792853752762518E-2"/>
          <c:w val="0.47272116768761452"/>
          <c:h val="0.95499656704331548"/>
        </c:manualLayout>
      </c:layout>
      <c:overlay val="0"/>
      <c:spPr>
        <a:noFill/>
        <a:ln>
          <a:noFill/>
        </a:ln>
        <a:effectLst/>
      </c:spPr>
      <c:txPr>
        <a:bodyPr/>
        <a:lstStyle/>
        <a:p>
          <a:pPr rtl="0">
            <a:defRPr baseline="0">
              <a:latin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Рынок услуг образования</c:v>
                </c:pt>
              </c:strCache>
            </c:strRef>
          </c:tx>
          <c:invertIfNegative val="0"/>
          <c:cat>
            <c:strRef>
              <c:f>Лист1!$A$4:$A$8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Лист1!$B$4:$B$8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рынок услуг перевозки пассажиров наземным транспортов</c:v>
                </c:pt>
              </c:strCache>
            </c:strRef>
          </c:tx>
          <c:invertIfNegative val="0"/>
          <c:cat>
            <c:strRef>
              <c:f>Лист1!$A$4:$A$8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8</c:v>
                </c:pt>
                <c:pt idx="1">
                  <c:v>26</c:v>
                </c:pt>
                <c:pt idx="2">
                  <c:v>0</c:v>
                </c:pt>
                <c:pt idx="3">
                  <c:v>0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Рынок услуг жилищно-коммунального хозяйства</c:v>
                </c:pt>
              </c:strCache>
            </c:strRef>
          </c:tx>
          <c:invertIfNegative val="0"/>
          <c:cat>
            <c:strRef>
              <c:f>Лист1!$A$4:$A$8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8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Лист1!$E$3</c:f>
              <c:strCache>
                <c:ptCount val="1"/>
                <c:pt idx="0">
                  <c:v>Рынок социальных услуг</c:v>
                </c:pt>
              </c:strCache>
            </c:strRef>
          </c:tx>
          <c:invertIfNegative val="0"/>
          <c:cat>
            <c:strRef>
              <c:f>Лист1!$A$4:$A$8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Лист1!$E$4:$E$8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Лист1!$F$3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invertIfNegative val="0"/>
          <c:cat>
            <c:strRef>
              <c:f>Лист1!$A$4:$A$8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Лист1!$F$4:$F$8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464960"/>
        <c:axId val="279466752"/>
        <c:axId val="0"/>
      </c:bar3DChart>
      <c:catAx>
        <c:axId val="279464960"/>
        <c:scaling>
          <c:orientation val="minMax"/>
        </c:scaling>
        <c:delete val="0"/>
        <c:axPos val="l"/>
        <c:majorTickMark val="out"/>
        <c:minorTickMark val="none"/>
        <c:tickLblPos val="nextTo"/>
        <c:crossAx val="279466752"/>
        <c:crosses val="autoZero"/>
        <c:auto val="1"/>
        <c:lblAlgn val="ctr"/>
        <c:lblOffset val="100"/>
        <c:noMultiLvlLbl val="0"/>
      </c:catAx>
      <c:valAx>
        <c:axId val="279466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946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Рынок услуг образования</c:v>
                </c:pt>
              </c:strCache>
            </c:strRef>
          </c:tx>
          <c:invertIfNegative val="0"/>
          <c:cat>
            <c:strRef>
              <c:f>Лист1!$A$14:$A$18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Лист1!$B$14:$B$18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рынок услуг перевозки пассажиров наземным транспортов</c:v>
                </c:pt>
              </c:strCache>
            </c:strRef>
          </c:tx>
          <c:invertIfNegative val="0"/>
          <c:cat>
            <c:strRef>
              <c:f>Лист1!$A$14:$A$18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Лист1!$C$14:$C$18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Лист1!$D$13</c:f>
              <c:strCache>
                <c:ptCount val="1"/>
                <c:pt idx="0">
                  <c:v>Рынок услуг жилищно-коммунального хозяйства</c:v>
                </c:pt>
              </c:strCache>
            </c:strRef>
          </c:tx>
          <c:invertIfNegative val="0"/>
          <c:cat>
            <c:strRef>
              <c:f>Лист1!$A$14:$A$18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Лист1!$D$14:$D$18</c:f>
              <c:numCache>
                <c:formatCode>General</c:formatCode>
                <c:ptCount val="5"/>
                <c:pt idx="0">
                  <c:v>8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Лист1!$E$13</c:f>
              <c:strCache>
                <c:ptCount val="1"/>
                <c:pt idx="0">
                  <c:v>Рынок социальных услуг</c:v>
                </c:pt>
              </c:strCache>
            </c:strRef>
          </c:tx>
          <c:invertIfNegative val="0"/>
          <c:cat>
            <c:strRef>
              <c:f>Лист1!$A$14:$A$18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Лист1!$E$14:$E$18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Лист1!$F$13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invertIfNegative val="0"/>
          <c:cat>
            <c:strRef>
              <c:f>Лист1!$A$14:$A$18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Лист1!$F$14:$F$18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22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494656"/>
        <c:axId val="279496192"/>
        <c:axId val="0"/>
      </c:bar3DChart>
      <c:catAx>
        <c:axId val="279494656"/>
        <c:scaling>
          <c:orientation val="minMax"/>
        </c:scaling>
        <c:delete val="0"/>
        <c:axPos val="l"/>
        <c:majorTickMark val="out"/>
        <c:minorTickMark val="none"/>
        <c:tickLblPos val="nextTo"/>
        <c:crossAx val="279496192"/>
        <c:crosses val="autoZero"/>
        <c:auto val="1"/>
        <c:lblAlgn val="ctr"/>
        <c:lblOffset val="100"/>
        <c:noMultiLvlLbl val="0"/>
      </c:catAx>
      <c:valAx>
        <c:axId val="279496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949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Лист1!$B$21</c:f>
              <c:strCache>
                <c:ptCount val="1"/>
                <c:pt idx="0">
                  <c:v>Рынок услуг образования</c:v>
                </c:pt>
              </c:strCache>
            </c:strRef>
          </c:tx>
          <c:invertIfNegative val="0"/>
          <c:cat>
            <c:strRef>
              <c:f>Лист1!$A$22:$A$26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Лист1!$B$22:$B$26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Лист1!$C$21</c:f>
              <c:strCache>
                <c:ptCount val="1"/>
                <c:pt idx="0">
                  <c:v>рынок услуг перевозки пассажиров наземным транспортов</c:v>
                </c:pt>
              </c:strCache>
            </c:strRef>
          </c:tx>
          <c:invertIfNegative val="0"/>
          <c:cat>
            <c:strRef>
              <c:f>Лист1!$A$22:$A$26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Лист1!$C$22:$C$26</c:f>
              <c:numCache>
                <c:formatCode>General</c:formatCode>
                <c:ptCount val="5"/>
                <c:pt idx="0">
                  <c:v>14</c:v>
                </c:pt>
                <c:pt idx="1">
                  <c:v>12</c:v>
                </c:pt>
                <c:pt idx="2">
                  <c:v>8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Лист1!$D$21</c:f>
              <c:strCache>
                <c:ptCount val="1"/>
                <c:pt idx="0">
                  <c:v>Рынок услуг жилищно-коммунального хозяйства</c:v>
                </c:pt>
              </c:strCache>
            </c:strRef>
          </c:tx>
          <c:invertIfNegative val="0"/>
          <c:cat>
            <c:strRef>
              <c:f>Лист1!$A$22:$A$26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Лист1!$D$22:$D$26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20</c:v>
                </c:pt>
                <c:pt idx="4">
                  <c:v>14</c:v>
                </c:pt>
              </c:numCache>
            </c:numRef>
          </c:val>
        </c:ser>
        <c:ser>
          <c:idx val="3"/>
          <c:order val="3"/>
          <c:tx>
            <c:strRef>
              <c:f>Лист1!$E$21</c:f>
              <c:strCache>
                <c:ptCount val="1"/>
                <c:pt idx="0">
                  <c:v>Рынок социальных услуг</c:v>
                </c:pt>
              </c:strCache>
            </c:strRef>
          </c:tx>
          <c:invertIfNegative val="0"/>
          <c:cat>
            <c:strRef>
              <c:f>Лист1!$A$22:$A$26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Лист1!$E$22:$E$26</c:f>
              <c:numCache>
                <c:formatCode>General</c:formatCode>
                <c:ptCount val="5"/>
                <c:pt idx="0">
                  <c:v>8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Лист1!$F$21</c:f>
              <c:strCache>
                <c:ptCount val="1"/>
                <c:pt idx="0">
                  <c:v>Рынок розничной торговли</c:v>
                </c:pt>
              </c:strCache>
            </c:strRef>
          </c:tx>
          <c:invertIfNegative val="0"/>
          <c:cat>
            <c:strRef>
              <c:f>Лист1!$A$22:$A$26</c:f>
              <c:strCache>
                <c:ptCount val="5"/>
                <c:pt idx="0">
                  <c:v>Удовлетворен</c:v>
                </c:pt>
                <c:pt idx="1">
                  <c:v>Скорее удовлетворен </c:v>
                </c:pt>
                <c:pt idx="2">
                  <c:v>Скорее не удовлетворен </c:v>
                </c:pt>
                <c:pt idx="3">
                  <c:v>Не удовлетворен 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Лист1!$F$22:$F$26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1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9655168"/>
        <c:axId val="279656704"/>
        <c:axId val="0"/>
      </c:bar3DChart>
      <c:catAx>
        <c:axId val="279655168"/>
        <c:scaling>
          <c:orientation val="minMax"/>
        </c:scaling>
        <c:delete val="0"/>
        <c:axPos val="l"/>
        <c:majorTickMark val="out"/>
        <c:minorTickMark val="none"/>
        <c:tickLblPos val="nextTo"/>
        <c:crossAx val="279656704"/>
        <c:crosses val="autoZero"/>
        <c:auto val="1"/>
        <c:lblAlgn val="ctr"/>
        <c:lblOffset val="100"/>
        <c:noMultiLvlLbl val="0"/>
      </c:catAx>
      <c:valAx>
        <c:axId val="279656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9655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2020-03-12T02:36:00Z</cp:lastPrinted>
  <dcterms:created xsi:type="dcterms:W3CDTF">2020-12-09T04:03:00Z</dcterms:created>
  <dcterms:modified xsi:type="dcterms:W3CDTF">2020-12-09T06:00:00Z</dcterms:modified>
  <dc:language>en-US</dc:language>
</cp:coreProperties>
</file>