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6D" w:rsidRDefault="00175A6D" w:rsidP="00175A6D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8485" cy="690245"/>
            <wp:effectExtent l="19050" t="0" r="0" b="0"/>
            <wp:docPr id="3" name="Рисунок 3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6D" w:rsidRDefault="00175A6D" w:rsidP="00175A6D">
      <w:pPr>
        <w:pStyle w:val="a3"/>
        <w:rPr>
          <w:szCs w:val="26"/>
        </w:rPr>
      </w:pPr>
      <w:r>
        <w:rPr>
          <w:szCs w:val="26"/>
        </w:rPr>
        <w:t>РАЙОННЫЙ СОВЕТ ДЕПУТАТОВ</w:t>
      </w:r>
    </w:p>
    <w:p w:rsidR="00175A6D" w:rsidRDefault="00175A6D" w:rsidP="00175A6D">
      <w:pPr>
        <w:pStyle w:val="a3"/>
        <w:rPr>
          <w:szCs w:val="26"/>
        </w:rPr>
      </w:pPr>
      <w:r>
        <w:rPr>
          <w:szCs w:val="26"/>
        </w:rPr>
        <w:t>МУНИЦИПАЛЬНОГО ОБРАЗОВАНИЯ</w:t>
      </w:r>
    </w:p>
    <w:p w:rsidR="00175A6D" w:rsidRPr="00D462F4" w:rsidRDefault="00175A6D" w:rsidP="00175A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175A6D" w:rsidRDefault="00C23C1D" w:rsidP="00175A6D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8" style="position:absolute;left:0;text-align:left;z-index:251660288" from="0,6pt" to="477pt,6pt" strokeweight="4.5pt">
            <v:stroke linestyle="thinThick"/>
          </v:line>
        </w:pict>
      </w:r>
    </w:p>
    <w:p w:rsidR="00175A6D" w:rsidRPr="006E16AB" w:rsidRDefault="00175A6D" w:rsidP="00175A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175A6D" w:rsidRDefault="00175A6D" w:rsidP="00175A6D">
      <w:pPr>
        <w:pStyle w:val="a5"/>
        <w:jc w:val="center"/>
        <w:rPr>
          <w:b/>
          <w:sz w:val="28"/>
          <w:szCs w:val="28"/>
        </w:rPr>
      </w:pPr>
    </w:p>
    <w:p w:rsidR="00175A6D" w:rsidRDefault="00175A6D" w:rsidP="00175A6D">
      <w:pPr>
        <w:pStyle w:val="a5"/>
        <w:jc w:val="center"/>
        <w:rPr>
          <w:b/>
          <w:sz w:val="28"/>
          <w:szCs w:val="28"/>
        </w:rPr>
      </w:pPr>
    </w:p>
    <w:p w:rsidR="00175A6D" w:rsidRDefault="00175A6D" w:rsidP="00175A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– 7     </w:t>
      </w:r>
    </w:p>
    <w:p w:rsidR="00175A6D" w:rsidRPr="00550126" w:rsidRDefault="00175A6D" w:rsidP="00175A6D">
      <w:pPr>
        <w:pStyle w:val="a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«23» декабря 2020 года</w:t>
      </w:r>
    </w:p>
    <w:p w:rsidR="00175A6D" w:rsidRDefault="00175A6D" w:rsidP="00175A6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75A6D" w:rsidRPr="0007649A" w:rsidRDefault="00175A6D" w:rsidP="00175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5A6D" w:rsidRPr="0007649A" w:rsidRDefault="00216108" w:rsidP="00216108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07649A">
        <w:rPr>
          <w:rFonts w:ascii="Times New Roman" w:hAnsi="Times New Roman" w:cs="Times New Roman"/>
          <w:sz w:val="24"/>
          <w:szCs w:val="24"/>
        </w:rPr>
        <w:t>б утверждении порядка выдвижения, внесения, обсуждения,</w:t>
      </w:r>
    </w:p>
    <w:p w:rsidR="00175A6D" w:rsidRPr="0007649A" w:rsidRDefault="00216108" w:rsidP="00216108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рассмотрения инициативных проектов, а также проведения их</w:t>
      </w:r>
    </w:p>
    <w:p w:rsidR="00175A6D" w:rsidRPr="0007649A" w:rsidRDefault="00216108" w:rsidP="00216108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«Курумканский район»</w:t>
      </w:r>
    </w:p>
    <w:p w:rsidR="00175A6D" w:rsidRPr="00DB3C18" w:rsidRDefault="00175A6D" w:rsidP="00175A6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75A6D" w:rsidRPr="0007649A" w:rsidRDefault="00175A6D" w:rsidP="00175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от 20 июля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649A">
        <w:rPr>
          <w:rFonts w:ascii="Times New Roman" w:hAnsi="Times New Roman" w:cs="Times New Roman"/>
          <w:sz w:val="24"/>
          <w:szCs w:val="24"/>
        </w:rPr>
        <w:t xml:space="preserve"> 236-ФЗ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649A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649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от 20 июля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649A">
        <w:rPr>
          <w:rFonts w:ascii="Times New Roman" w:hAnsi="Times New Roman" w:cs="Times New Roman"/>
          <w:sz w:val="24"/>
          <w:szCs w:val="24"/>
        </w:rPr>
        <w:t xml:space="preserve"> 216-ФЗ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649A">
        <w:rPr>
          <w:rFonts w:ascii="Times New Roman" w:hAnsi="Times New Roman" w:cs="Times New Roman"/>
          <w:sz w:val="24"/>
          <w:szCs w:val="24"/>
        </w:rPr>
        <w:t>О внесении изменений в Бюджетный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EF418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 решил</w:t>
      </w:r>
      <w:r w:rsidRPr="0007649A">
        <w:rPr>
          <w:rFonts w:ascii="Times New Roman" w:hAnsi="Times New Roman" w:cs="Times New Roman"/>
          <w:sz w:val="24"/>
          <w:szCs w:val="24"/>
        </w:rPr>
        <w:t>:</w:t>
      </w:r>
    </w:p>
    <w:p w:rsidR="00175A6D" w:rsidRPr="0007649A" w:rsidRDefault="00175A6D" w:rsidP="0017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F418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175A6D" w:rsidRPr="0007649A" w:rsidRDefault="00175A6D" w:rsidP="0017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F418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срок до 01 января 2021 года:</w:t>
      </w:r>
    </w:p>
    <w:p w:rsidR="00175A6D" w:rsidRPr="0007649A" w:rsidRDefault="00175A6D" w:rsidP="0017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определить уполномоченный отраслевой (функциональный)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F418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F418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175A6D" w:rsidRPr="0007649A" w:rsidRDefault="00175A6D" w:rsidP="008B46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комиссию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07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F418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по бюджету, налогам, финансам и имуществу.</w:t>
      </w:r>
    </w:p>
    <w:p w:rsidR="00175A6D" w:rsidRPr="0007649A" w:rsidRDefault="00175A6D" w:rsidP="0017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4. Решение вступает в силу после его официального опубликования (обнародования), но не ранее 01 января 2021 года.</w:t>
      </w:r>
    </w:p>
    <w:p w:rsidR="00175A6D" w:rsidRPr="0007649A" w:rsidRDefault="00175A6D" w:rsidP="00175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A6D" w:rsidRPr="00FE699B" w:rsidRDefault="00175A6D" w:rsidP="00175A6D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Председатель Районного Совета депутатов</w:t>
      </w:r>
      <w:r w:rsidRPr="00FE699B">
        <w:rPr>
          <w:rFonts w:ascii="Times New Roman" w:hAnsi="Times New Roman"/>
          <w:b/>
          <w:sz w:val="28"/>
          <w:szCs w:val="28"/>
        </w:rPr>
        <w:tab/>
      </w:r>
    </w:p>
    <w:p w:rsidR="00175A6D" w:rsidRPr="00FE699B" w:rsidRDefault="00175A6D" w:rsidP="00175A6D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 xml:space="preserve">МО «Курумканский район»                                                         Н.В. Сахаров </w:t>
      </w:r>
    </w:p>
    <w:p w:rsidR="00175A6D" w:rsidRPr="00FE699B" w:rsidRDefault="00175A6D" w:rsidP="00175A6D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75A6D" w:rsidRPr="00FE699B" w:rsidRDefault="00175A6D" w:rsidP="00175A6D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75A6D" w:rsidRPr="00FE699B" w:rsidRDefault="00175A6D" w:rsidP="00175A6D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175A6D" w:rsidRPr="00321456" w:rsidRDefault="00175A6D" w:rsidP="00175A6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МО «Курумканский район»                                                      В.В. Сультимов</w:t>
      </w:r>
    </w:p>
    <w:p w:rsidR="0007649A" w:rsidRPr="0007649A" w:rsidRDefault="000764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649A" w:rsidRPr="0007649A" w:rsidRDefault="00076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7649A" w:rsidRPr="0007649A" w:rsidRDefault="00076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8B4667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649A" w:rsidRPr="0007649A" w:rsidRDefault="00076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от </w:t>
      </w:r>
      <w:r w:rsidR="00F0782A" w:rsidRPr="00F0782A">
        <w:rPr>
          <w:rFonts w:ascii="Times New Roman" w:hAnsi="Times New Roman" w:cs="Times New Roman"/>
          <w:sz w:val="24"/>
          <w:szCs w:val="24"/>
        </w:rPr>
        <w:t>«23» декабря</w:t>
      </w:r>
      <w:r w:rsidRPr="0007649A">
        <w:rPr>
          <w:rFonts w:ascii="Times New Roman" w:hAnsi="Times New Roman" w:cs="Times New Roman"/>
          <w:sz w:val="24"/>
          <w:szCs w:val="24"/>
        </w:rPr>
        <w:t xml:space="preserve"> 2020 года </w:t>
      </w:r>
      <w:r>
        <w:rPr>
          <w:rFonts w:ascii="Times New Roman" w:hAnsi="Times New Roman" w:cs="Times New Roman"/>
          <w:sz w:val="24"/>
          <w:szCs w:val="24"/>
        </w:rPr>
        <w:t>№ ______</w:t>
      </w:r>
    </w:p>
    <w:p w:rsidR="0007649A" w:rsidRPr="0007649A" w:rsidRDefault="00076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07649A">
        <w:rPr>
          <w:rFonts w:ascii="Times New Roman" w:hAnsi="Times New Roman" w:cs="Times New Roman"/>
          <w:sz w:val="24"/>
          <w:szCs w:val="24"/>
        </w:rPr>
        <w:t>ПОРЯДОК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ВЫДВИЖЕНИЯ, ВНЕСЕНИЯ, ОБСУЖДЕНИЯ, РАССМОТРЕНИЯ ИНИЦИАТИВНЫХ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ПРОЕКТОВ, А ТАКЖЕ ПРОВЕДЕНИЯ ИХ КОНКУРСНОГО ОТБОРА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8B4667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333" w:rsidRDefault="0007649A" w:rsidP="00D9446B">
      <w:pPr>
        <w:pStyle w:val="ConsPlusNormal"/>
        <w:numPr>
          <w:ilvl w:val="0"/>
          <w:numId w:val="4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8B4667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567333" w:rsidP="00D9446B">
      <w:pPr>
        <w:pStyle w:val="ConsPlusNormal"/>
        <w:numPr>
          <w:ilvl w:val="0"/>
          <w:numId w:val="4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33">
        <w:rPr>
          <w:rFonts w:ascii="Times New Roman" w:hAnsi="Times New Roman" w:cs="Times New Roman"/>
          <w:sz w:val="24"/>
          <w:szCs w:val="24"/>
        </w:rPr>
        <w:t xml:space="preserve">Порядок определения части </w:t>
      </w:r>
      <w:bookmarkStart w:id="1" w:name="_GoBack"/>
      <w:r w:rsidRPr="00567333">
        <w:rPr>
          <w:rFonts w:ascii="Times New Roman" w:hAnsi="Times New Roman" w:cs="Times New Roman"/>
          <w:sz w:val="24"/>
          <w:szCs w:val="24"/>
        </w:rPr>
        <w:t>терри</w:t>
      </w:r>
      <w:bookmarkEnd w:id="1"/>
      <w:r w:rsidRPr="00567333">
        <w:rPr>
          <w:rFonts w:ascii="Times New Roman" w:hAnsi="Times New Roman" w:cs="Times New Roman"/>
          <w:sz w:val="24"/>
          <w:szCs w:val="24"/>
        </w:rPr>
        <w:t>тории 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567333">
        <w:rPr>
          <w:rFonts w:ascii="Times New Roman" w:hAnsi="Times New Roman" w:cs="Times New Roman"/>
          <w:sz w:val="24"/>
          <w:szCs w:val="24"/>
        </w:rPr>
        <w:t>», на которой могут реализовываться инициативные проекты, устанавливается решением Совета депутатов 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5673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numPr>
          <w:ilvl w:val="0"/>
          <w:numId w:val="4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Основные понятия, используемые для целей настоящего Порядка: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Российской Федерации в бюджет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целях реализации конкретных инициативных проектов;</w:t>
      </w:r>
      <w:proofErr w:type="gramEnd"/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3) Согласительная комиссия - постоянно действующий коллегиальный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созданный в целях проведения конкурсного отбора инициативных проектов;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5) уполномоченный орган - отраслевой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6)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(далее - участники инициативной деятельности):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Согласительная комиссия;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уполномоченный орган;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отраслевые органы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  <w:r w:rsidRPr="0007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администрации сельских поселений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07649A">
        <w:rPr>
          <w:rFonts w:ascii="Times New Roman" w:hAnsi="Times New Roman" w:cs="Times New Roman"/>
          <w:sz w:val="24"/>
          <w:szCs w:val="24"/>
        </w:rPr>
        <w:t>Раздел 2. ПОРЯДОК ВЫДВИЖЕНИЯ ИНИЦИАТИВНЫХ ПРОЕКТОВ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1. Выдвижение инициативных проектов осуществляется инициаторами проектов.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2. Инициаторами проектов могут выступать: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инициативные группы численностью не менее </w:t>
      </w:r>
      <w:r w:rsidR="001A7438" w:rsidRPr="001A7438">
        <w:rPr>
          <w:rFonts w:ascii="Times New Roman" w:hAnsi="Times New Roman" w:cs="Times New Roman"/>
          <w:sz w:val="24"/>
          <w:szCs w:val="24"/>
        </w:rPr>
        <w:t>десяти</w:t>
      </w:r>
      <w:r w:rsidRPr="001A7438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 xml:space="preserve">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самоуправления, осуществляющие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старосты сельских населенных пунктов, входящих в состав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Инициативные </w:t>
      </w:r>
      <w:hyperlink w:anchor="P20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проекты</w:t>
        </w:r>
      </w:hyperlink>
      <w:r w:rsidRPr="0007649A">
        <w:rPr>
          <w:rFonts w:ascii="Times New Roman" w:hAnsi="Times New Roman" w:cs="Times New Roman"/>
          <w:sz w:val="24"/>
          <w:szCs w:val="24"/>
        </w:rPr>
        <w:t>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07649A">
        <w:rPr>
          <w:rFonts w:ascii="Times New Roman" w:hAnsi="Times New Roman" w:cs="Times New Roman"/>
          <w:sz w:val="24"/>
          <w:szCs w:val="24"/>
        </w:rPr>
        <w:t>Раздел 3. ПОРЯДОК ОБСУЖДЕНИЯ ИНИЦИАТИВНЫХ ПРОЕКТОВ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собранием, конференцией решения о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поддержке инициативных проектов.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2. Возможно рассмотрение нескольких инициативных проектов на одном сходе, на одном собрании, на одной конференции граждан или при проведении одного опроса граждан.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hyperlink r:id="rId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а также решениями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07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4. ПОРЯДОК ВНЕСЕНИЯ ИНИЦИАТИВНЫХ ПРОЕКТОВ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07649A">
        <w:rPr>
          <w:rFonts w:ascii="Times New Roman" w:hAnsi="Times New Roman" w:cs="Times New Roman"/>
          <w:sz w:val="24"/>
          <w:szCs w:val="24"/>
        </w:rPr>
        <w:t xml:space="preserve">1.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жителями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или его части.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выступают физические лица, к инициативному проекту прилагается </w:t>
      </w:r>
      <w:hyperlink w:anchor="P578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 обработку их персональных данных, составленное по форме согласно приложению 3 к настоящему Порядку.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Информация о внесении инициативного проекта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5608E8"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5608E8">
        <w:rPr>
          <w:rFonts w:ascii="Times New Roman" w:hAnsi="Times New Roman" w:cs="Times New Roman"/>
          <w:sz w:val="24"/>
          <w:szCs w:val="24"/>
        </w:rPr>
        <w:t xml:space="preserve">» </w:t>
      </w:r>
      <w:r w:rsidRPr="0007649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5608E8">
        <w:rPr>
          <w:rFonts w:ascii="Times New Roman" w:hAnsi="Times New Roman" w:cs="Times New Roman"/>
          <w:sz w:val="24"/>
          <w:szCs w:val="24"/>
        </w:rPr>
        <w:t>«</w:t>
      </w:r>
      <w:r w:rsidRPr="0007649A">
        <w:rPr>
          <w:rFonts w:ascii="Times New Roman" w:hAnsi="Times New Roman" w:cs="Times New Roman"/>
          <w:sz w:val="24"/>
          <w:szCs w:val="24"/>
        </w:rPr>
        <w:t>Интернет</w:t>
      </w:r>
      <w:r w:rsidR="005608E8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внесения инициативного проекта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Одновременно граждане информируются о возможности представления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вправе направлять жители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5. ПОРЯДОК РАССМОТРЕНИЯ ИНИЦИАТИВНЫХ ПРОЕКТОВ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1. Инициативный проект, внесенный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подлежит обязательному рассмотрению в течение 30 дней со дня его внесения на соответствие требованиям, установленным </w:t>
      </w:r>
      <w:hyperlink w:anchor="P58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разделами 2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hyperlink w:anchor="P7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пунктом 1 раздела 4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Инициативные проекты в течение трех рабочих дней со дня их внесения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направляются уполномоченным органом в адрес отраслевых (функциональным) органов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курирующих направления деятельности, которым соответствует внесенный инициативный проект, а также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на территории которых проект планируется (предлагается) к реализации.</w:t>
      </w:r>
      <w:proofErr w:type="gramEnd"/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Отраслевые органы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курирующие направления деятельности, которым соответствует внесенный инициативный проект, администрации сельских поселений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на территории которых инициативный проект планируется (предлагается) к реализации, осуществляют подготовку и направление в адрес уполномоченного органа заключения о правомерности, возможности, целесообразности реализации соответствующего инициативного проекта.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курирующий направления деятельности, которым соответствует внесенный инициативный проект, администрацию городского, сельского поселения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на территории которого планируется (предлагается) реализация соответствующего инициативного проекта.</w:t>
      </w:r>
      <w:proofErr w:type="gramEnd"/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07649A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если в администрацию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5. К конкурсному отбору не допускаются инициативные проекты, в случаях, указанных в </w:t>
      </w:r>
      <w:hyperlink w:anchor="P98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2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5 пункта 7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090753">
        <w:rPr>
          <w:rFonts w:ascii="Times New Roman" w:hAnsi="Times New Roman" w:cs="Times New Roman"/>
          <w:sz w:val="24"/>
          <w:szCs w:val="24"/>
        </w:rPr>
        <w:t>МО «Курумканский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98"/>
      <w:bookmarkEnd w:id="6"/>
      <w:r w:rsidRPr="0007649A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Уставу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4) отсутствие средств бюджета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2"/>
      <w:bookmarkEnd w:id="7"/>
      <w:r w:rsidRPr="0007649A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</w:t>
      </w:r>
      <w:hyperlink w:anchor="P102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7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9. Порядок взаимодействия участников инициативной деятельности по вопросам, связанным с рассмотрением инициативных проектов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утверждается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6. ПОРЯДОК РАССМОТРЕНИЯ ИНИЦИАТИВНЫХ ПРОЕКТОВ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СОГЛАСИТЕЛЬНОЙ КОМИССИЕЙ И ПРОВЕДЕНИЯ КОНКУРСНОГО ОТБОРА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1. В случае, установленном </w:t>
      </w:r>
      <w:hyperlink w:anchor="P92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пунктом 4 раздела 5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Порядка, инициативные проекты подлежат конкурсному отбору, проводимому Согласительной комиссией.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Отбор инициативных проектов осуществляется в соответствии с методикой и критериями оценки инициативных проектов, установленными </w:t>
      </w:r>
      <w:hyperlink w:anchor="P118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разделом 7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4. Согласительная комиссия по результатам рассмотрения инициативного проекта принимает одно из следующих решений: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признать инициативный проект прошедшим конкурсный;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признать инициативный проект не прошедшим конкурсный отбор.</w:t>
      </w:r>
    </w:p>
    <w:p w:rsid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5. Решение Согласительной комиссией принимается по каждому представленному инициативному проекту.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18"/>
      <w:bookmarkEnd w:id="8"/>
      <w:r w:rsidRPr="0007649A">
        <w:rPr>
          <w:rFonts w:ascii="Times New Roman" w:hAnsi="Times New Roman" w:cs="Times New Roman"/>
          <w:sz w:val="24"/>
          <w:szCs w:val="24"/>
        </w:rPr>
        <w:t>Раздел 7. МЕТОДИКА И КРИТЕРИИ ОЦЕНКИ ИНИЦИАТИВНЫХ ПРОЕКТОВ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2. Перечень </w:t>
      </w:r>
      <w:hyperlink w:anchor="P29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оценки инициативных проектов и их балльное значение устанавливается приложением 2 к настоящему Порядку.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3. Оценка инициативного проекта осуществляется отдельно по каждому инициативному проекту.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4. Оценка инициативного проекта по каждому критерию определяется в баллах.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5. Максимальная итоговая оценка инициативного проекта составляет 100 баллов, минимальная 0.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6.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При недостаточности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возможна в пределах объемов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7. Итоговая оценка инициативного проекта рассчитывается по следующей формуле: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C23C1D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C1D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5" style="width:159.25pt;height:22.15pt" coordsize="" o:spt="100" adj="0,,0" path="" filled="f" stroked="f">
            <v:stroke joinstyle="miter"/>
            <v:imagedata r:id="rId11" o:title="base_24478_218144_32768"/>
            <v:formulas/>
            <v:path o:connecttype="segments"/>
          </v:shape>
        </w:pict>
      </w:r>
      <w:r w:rsidR="0007649A" w:rsidRPr="0007649A">
        <w:rPr>
          <w:rFonts w:ascii="Times New Roman" w:hAnsi="Times New Roman" w:cs="Times New Roman"/>
          <w:sz w:val="24"/>
          <w:szCs w:val="24"/>
        </w:rPr>
        <w:t>,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где: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07649A">
        <w:rPr>
          <w:rFonts w:ascii="Times New Roman" w:hAnsi="Times New Roman" w:cs="Times New Roman"/>
          <w:sz w:val="24"/>
          <w:szCs w:val="24"/>
        </w:rPr>
        <w:t>, указанных в приложении 2 к настоящему Порядку;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49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 - множество </w:t>
      </w:r>
      <w:hyperlink w:anchor="P29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07649A">
        <w:rPr>
          <w:rFonts w:ascii="Times New Roman" w:hAnsi="Times New Roman" w:cs="Times New Roman"/>
          <w:sz w:val="24"/>
          <w:szCs w:val="24"/>
        </w:rPr>
        <w:t>, входящих группу "Общие критерии", указанные в приложении 2 к настоящему Порядку.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Каждый из критериев 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 может принимать значение 0 или 1;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П(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ПКОкi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49A">
        <w:rPr>
          <w:rFonts w:ascii="Times New Roman" w:hAnsi="Times New Roman" w:cs="Times New Roman"/>
          <w:sz w:val="24"/>
          <w:szCs w:val="24"/>
        </w:rPr>
        <w:t>кg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 - множество </w:t>
      </w:r>
      <w:hyperlink w:anchor="P29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07649A">
        <w:rPr>
          <w:rFonts w:ascii="Times New Roman" w:hAnsi="Times New Roman" w:cs="Times New Roman"/>
          <w:sz w:val="24"/>
          <w:szCs w:val="24"/>
        </w:rPr>
        <w:t>, входящих группу "Рейтинговые критерии", указанные в приложении 2 к настоящему Порядку;</w:t>
      </w:r>
    </w:p>
    <w:p w:rsidR="0007649A" w:rsidRPr="0007649A" w:rsidRDefault="00C23C1D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C1D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6" style="width:49.85pt;height:22.15pt" coordsize="" o:spt="100" adj="0,,0" path="" filled="f" stroked="f">
            <v:stroke joinstyle="miter"/>
            <v:imagedata r:id="rId12" o:title="base_24478_218144_32769"/>
            <v:formulas/>
            <v:path o:connecttype="segments"/>
          </v:shape>
        </w:pict>
      </w:r>
      <w:r w:rsidR="0007649A" w:rsidRPr="0007649A">
        <w:rPr>
          <w:rFonts w:ascii="Times New Roman" w:hAnsi="Times New Roman" w:cs="Times New Roman"/>
          <w:sz w:val="24"/>
          <w:szCs w:val="24"/>
        </w:rPr>
        <w:t xml:space="preserve"> - сумма баллов, присвоенных инициативному проекту по каждому из критериев, входящих в группу "Критерии прохождения конкурсного отбора".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Каждый из критериев 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 может принимать значение, соответствующее уровню выполнения </w:t>
      </w:r>
      <w:hyperlink w:anchor="P29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критерия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в пределах значений, указанных в приложении 2 к настоящему Порядку.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8. ПОРЯДОК ФОРМИРОВАНИЯ И ДЕЯТЕЛЬНОСТИ СОГЛАСИТЕЛЬНОЙ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КОМИССИИ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D0A" w:rsidRDefault="00761D0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 xml:space="preserve">Порядок формирования и деятельности </w:t>
      </w:r>
      <w:r w:rsidRPr="0007649A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Pr="00761D0A"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представительного органа муниципального образования.</w:t>
      </w:r>
    </w:p>
    <w:p w:rsid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Состав Согласительной комиссии формируется администрацией 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761D0A">
        <w:rPr>
          <w:rFonts w:ascii="Times New Roman" w:hAnsi="Times New Roman" w:cs="Times New Roman"/>
          <w:sz w:val="24"/>
          <w:szCs w:val="24"/>
        </w:rPr>
        <w:t>». При этом половина от общего числа членов Согласительной комиссии должна быть назначена на основе предложений Совета депутатов МО «</w:t>
      </w:r>
      <w:r w:rsidR="00090753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761D0A">
        <w:rPr>
          <w:rFonts w:ascii="Times New Roman" w:hAnsi="Times New Roman" w:cs="Times New Roman"/>
          <w:sz w:val="24"/>
          <w:szCs w:val="24"/>
        </w:rPr>
        <w:t>».</w:t>
      </w:r>
    </w:p>
    <w:p w:rsid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В заседаниях Согласительной комиссии могут участвовать приглашенные лица, не являющиеся членами Согласительной комиссии.</w:t>
      </w:r>
    </w:p>
    <w:p w:rsid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проектам, рассматриваемым на заседании.</w:t>
      </w:r>
    </w:p>
    <w:p w:rsidR="0007649A" w:rsidRP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Согласительная комиссия осуществляет следующие функции: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w:anchor="P299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критериями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оценки инициативных проектов согласно приложению 2 к настоящему Порядку;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формирует итоговую оценку инициативных проектов;</w:t>
      </w:r>
    </w:p>
    <w:p w:rsidR="00761D0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принимает решение о признании инициативного проекта прошедшим или не прошедшим конкурсный отбор.</w:t>
      </w:r>
    </w:p>
    <w:p w:rsid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07649A" w:rsidRP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Полномочия членов Согласительной комиссии: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1) председатель Согласительной комиссии: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руководит деятельностью Согласительной комиссии, организует ее работу;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ведет заседания Согласительной комиссии, подписывает протоколы заседаний;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осуществляет общий контроль за реализацией принятых Согласительной комиссией решений;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2) заместитель председателя Согласительной комиссии: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исполняет полномочия председателя Согласительной комиссии в отсутствие председателя;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3) секретарь Согласительной комиссии: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формирует проект повестки очередного заседания Согласительной комиссии;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обеспечивает подготовку материалов к заседанию Согласительной комиссии;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оповещает членов Согласительной комиссии об очередных ее заседаниях;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ведет и подписывает протоколы заседаний Согласительной комиссии;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4) члены Согласительной комиссии: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осуществляют рассмотрение и оценку представленных инициативных проектов;</w:t>
      </w:r>
    </w:p>
    <w:p w:rsidR="00761D0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07649A" w:rsidRPr="00761D0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D0A">
        <w:rPr>
          <w:rFonts w:ascii="Times New Roman" w:hAnsi="Times New Roman" w:cs="Times New Roman"/>
          <w:sz w:val="24"/>
          <w:szCs w:val="24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761D0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07649A" w:rsidRPr="0007649A" w:rsidRDefault="0007649A" w:rsidP="00D9446B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</w:t>
      </w:r>
      <w:r w:rsidR="00C64DE2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</w:t>
      </w:r>
      <w:r w:rsidR="00567333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9. ПОРЯДОК РЕАЛИЗАЦИИ ИНИЦИАТИВНЫХ ПРОЕКТОВ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1. На основании протокола заседания Согласительной комиссии координаторы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обеспечивают включение мероприятий по реализации инициативных проектов в состав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2. Реализация инициативных проектов осуществляется на условиях 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инициативных платежей в объеме,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Инициатор проекта до начала его реализации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обеспечивает внесение инициативных платежей в доход бюджета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на основании договора пожертвования, заключенного с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и (или) заключает с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услуг/выполнения работ, внесения и возврата инициативных платежей, устанавливается </w:t>
      </w:r>
      <w:r w:rsidR="00567333">
        <w:rPr>
          <w:rFonts w:ascii="Times New Roman" w:hAnsi="Times New Roman" w:cs="Times New Roman"/>
          <w:sz w:val="24"/>
          <w:szCs w:val="24"/>
        </w:rPr>
        <w:t>нормативно-правовым актом муниципального образования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567333">
        <w:rPr>
          <w:rFonts w:ascii="Times New Roman" w:hAnsi="Times New Roman" w:cs="Times New Roman"/>
          <w:sz w:val="24"/>
          <w:szCs w:val="24"/>
        </w:rPr>
        <w:t>».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5. Учет инициативных платежей осуществляется отдельно по каждому проекту.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6.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ходом реализации инициативного проекта осуществляют координаторы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в рамках которых предусмотрена реализация соответствующих инициативных проектов.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8. Инициаторы проекта или их представители принимают обязательное участие в приемке результатов поставки товаров, выполнения работ, оказания услуг.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Члены Согласительной комиссии имеют право на участие в приемке результатов поставки товаров, выполнения работ, оказания услуг.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9. Инициатор проекта, члены Согласительной комиссии имеют право на доступ к информации о ходе принятого к реализации инициативного проекта.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Координаторы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отчетным, направляют в уполномоченный орган и финансовый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отчет о ходе реализации инициативного проекта.</w:t>
      </w:r>
      <w:proofErr w:type="gramEnd"/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 xml:space="preserve">Координаторы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срок до 31 декабря года, в котором был реализован инициативный проект, обеспечивают направление документов, подтверждающих окончание реализации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фотографии и др.) в уполномоченный орган и финансовый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</w:t>
      </w:r>
      <w:proofErr w:type="gramEnd"/>
      <w:r w:rsidR="00E10D6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0"/>
      <w:bookmarkEnd w:id="9"/>
      <w:r w:rsidRPr="0007649A">
        <w:rPr>
          <w:rFonts w:ascii="Times New Roman" w:hAnsi="Times New Roman" w:cs="Times New Roman"/>
          <w:sz w:val="24"/>
          <w:szCs w:val="24"/>
        </w:rPr>
        <w:t xml:space="preserve">12. Информация о рассмотрении инициативного проекта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</w:t>
      </w:r>
      <w:r w:rsidR="00567333">
        <w:rPr>
          <w:rFonts w:ascii="Times New Roman" w:hAnsi="Times New Roman" w:cs="Times New Roman"/>
          <w:sz w:val="24"/>
          <w:szCs w:val="24"/>
        </w:rPr>
        <w:t>«</w:t>
      </w:r>
      <w:r w:rsidR="00E10D62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567333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1"/>
      <w:bookmarkEnd w:id="10"/>
      <w:r w:rsidRPr="0007649A">
        <w:rPr>
          <w:rFonts w:ascii="Times New Roman" w:hAnsi="Times New Roman" w:cs="Times New Roman"/>
          <w:sz w:val="24"/>
          <w:szCs w:val="24"/>
        </w:rPr>
        <w:t xml:space="preserve">13. Отчет об итогах реализации инициативного проекта подлежит опубликованию (обнародованию) и размещению на официальном сайте </w:t>
      </w:r>
      <w:r w:rsidR="005608E8"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5608E8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в </w:t>
      </w:r>
      <w:r w:rsidRPr="00567333">
        <w:rPr>
          <w:rFonts w:ascii="Times New Roman" w:hAnsi="Times New Roman" w:cs="Times New Roman"/>
          <w:sz w:val="24"/>
          <w:szCs w:val="24"/>
        </w:rPr>
        <w:t>разделе "Инициативное бюджетирование" в течение</w:t>
      </w:r>
      <w:r w:rsidRPr="0007649A">
        <w:rPr>
          <w:rFonts w:ascii="Times New Roman" w:hAnsi="Times New Roman" w:cs="Times New Roman"/>
          <w:sz w:val="24"/>
          <w:szCs w:val="24"/>
        </w:rPr>
        <w:t xml:space="preserve"> 30 календарных дней со дня завершения реализации инициативного проекта.</w:t>
      </w:r>
      <w:r w:rsidR="00800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14. В сельском населенном пункте информация, указанная в </w:t>
      </w:r>
      <w:hyperlink w:anchor="P190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пунктах 12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1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настоящего раздела, может доводиться до сведения граждан старостой сельского населенного пункта.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Раздел 10. ПОРЯДОК РАСЧЕТА И ВОЗВРАТА СУММ ИНИЦИАТИВНЫХ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ПЛАТЕЖЕЙ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0764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649A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 xml:space="preserve"> (далее - денежные средства, подлежащие возврату).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 инициативного проекта.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3. Инициаторы проекта предоставляют заявление на возврат денежных средств с указанием банковских реквизитов в отраслевой (функциональный)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осуществляющий учет инициативных платежей, в целях возврата инициативных платежей.</w:t>
      </w: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4. Отраслевой (функциональный) орган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осуществляющий учет инициативных платежей, в течение 5 рабочих дней со дня поступления заявления осуществляет возврат денежных средств.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649A" w:rsidRPr="0007649A" w:rsidRDefault="0007649A" w:rsidP="00D9446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к Порядку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09"/>
      <w:bookmarkEnd w:id="11"/>
      <w:r w:rsidRPr="0007649A">
        <w:rPr>
          <w:rFonts w:ascii="Times New Roman" w:hAnsi="Times New Roman" w:cs="Times New Roman"/>
          <w:sz w:val="24"/>
          <w:szCs w:val="24"/>
        </w:rPr>
        <w:t>Инициативный проект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"____" ___________ 20__ г.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4139"/>
      </w:tblGrid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предоставлено органам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2B3ED4"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13" w:history="1">
              <w:r w:rsidRPr="000764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от 06 октября 2003 </w:t>
            </w:r>
            <w:r w:rsidR="00065D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прямых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«___________________________»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инициативного проекта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Объем неденежного вклада, обеспечиваемый инициатором проекта, в том числе: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567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365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4139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Инициатор(ы) проекта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5D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649A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065DA4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Приложения: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1. Расчет и обоснование предполагаемой стоимости инициативного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проекта и (или) проектно-сметная (сметная) документация.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2. Гарантийное письмо, подписанное инициатором проекта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(представителем инициатора), содержащее обязательства по обеспечению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по трудовому участию в реализации инициативного проекта инициаторами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проекта.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3. Документы, подтверждающие полномочия инициатора проекта: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копия паспорта, копия доверенности (в случае необходимости), решение о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назначении руководителя, копия устава и другие документы, подтверждающие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полномочия.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4.  Презентационные материалы к инициативному проекту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(с использованием средств визуализации инициативного проекта).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5. Дополнительные материалы (чертежи, макеты, графические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материалы и другие) при необходимости.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инициатора</w:t>
      </w:r>
      <w:r w:rsidR="00065DA4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проекта (представителя инициативной группы).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649A" w:rsidRPr="0007649A" w:rsidRDefault="0007649A" w:rsidP="00D9446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к Порядку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99"/>
      <w:bookmarkEnd w:id="12"/>
      <w:r w:rsidRPr="0007649A">
        <w:rPr>
          <w:rFonts w:ascii="Times New Roman" w:hAnsi="Times New Roman" w:cs="Times New Roman"/>
          <w:sz w:val="24"/>
          <w:szCs w:val="24"/>
        </w:rPr>
        <w:t>КРИТЕРИИ</w:t>
      </w:r>
    </w:p>
    <w:p w:rsidR="0007649A" w:rsidRPr="0007649A" w:rsidRDefault="0007649A" w:rsidP="00D9446B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ОЦЕНКИ ИНИЦИАТИВНОГО ПРОЕКТА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79"/>
        <w:gridCol w:w="4422"/>
        <w:gridCol w:w="1276"/>
      </w:tblGrid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N критерия</w:t>
            </w: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Баллы по критерию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Критерии прохождения конкурсного отбора (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ПКОк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3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«___________________________»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</w:t>
            </w:r>
            <w:r w:rsidRPr="00065DA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1 500 тыс. руб.</w:t>
            </w:r>
            <w:r w:rsidR="0060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усмотрение МО)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3259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065D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Критерии прохождения конкурсного отбора</w:t>
            </w:r>
            <w:r w:rsidR="00065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баллов, присвоенных проекту по каждому из критериев, входящих в группу </w:t>
            </w:r>
            <w:r w:rsidR="00065D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Критерии прохождения конкурсного отбора проекта</w:t>
            </w:r>
            <w:r w:rsidR="00065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Рейтинговые критерии (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инициативного проекта: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Общественная полезность реализации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«___________________________»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</w:p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направлен на создание, развитие и ремонт муниципальных объектов социальной сферы;</w:t>
            </w:r>
          </w:p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проект оценивается как не имеющий общественной полезности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проблемы: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прямых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инициативного проекта: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250 до 500 человек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50 до 250 человек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инициативного проекта в расчете на одного прямого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благополучателя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250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250 рублей до 500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500 рублей до 750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750 рублей до 1000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1000 рублей до 1500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1500 рублей до 2000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2000 рублей до 2500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2500 рублей до 3000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3000 рублей до 3500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3500 рублей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Срок реализации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1 календарного года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2 календарных лет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3 календарных лет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более 3 календарных лет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"Срок жизни" результатов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Оригинальность, инновационность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Оригинальность, необычность идеи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Наличие приложенных к заявке презентационных материалов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Участие общественности в подготовке и реализации инициативного проекта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гражданами</w:t>
            </w:r>
            <w:r w:rsidR="00334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5% от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юридическими лицами, в том числе социально ориентированными некоммерческими организациями и индивидуальными 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от 20% стоимости инициативного проекта или </w:t>
            </w:r>
            <w:proofErr w:type="spellStart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ориентированными некоммерческими организациями от 5%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7430B1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7430B1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7430B1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7430B1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5% от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7430B1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8277" w:type="dxa"/>
            <w:gridSpan w:val="3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  <w:r w:rsidR="0007649A" w:rsidRPr="0007649A">
              <w:rPr>
                <w:rFonts w:ascii="Times New Roman" w:hAnsi="Times New Roman" w:cs="Times New Roman"/>
                <w:sz w:val="24"/>
                <w:szCs w:val="24"/>
              </w:rPr>
              <w:t>мущественного и (или) трудового участия граждан в реализации инициативного проекта</w:t>
            </w:r>
            <w:r w:rsidR="00EF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49A" w:rsidRPr="0007649A" w:rsidRDefault="00567333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8277" w:type="dxa"/>
            <w:gridSpan w:val="3"/>
          </w:tcPr>
          <w:p w:rsid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  <w:p w:rsidR="00EF35C2" w:rsidRPr="0007649A" w:rsidRDefault="00EF35C2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20% стоимости проекта или трудовое участие социально ориентированных некоммерческих организаций от 5%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15% до 20%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5% от стоимости инициативного проекта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8277" w:type="dxa"/>
            <w:gridSpan w:val="3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Уровень поддержки инициативного проекта населением</w:t>
            </w:r>
            <w:r w:rsidR="00334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10% до 15%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5% до 10%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от 1% до 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9A" w:rsidRPr="0007649A">
        <w:tc>
          <w:tcPr>
            <w:tcW w:w="680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276" w:type="dxa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9A" w:rsidRPr="0007649A">
        <w:tc>
          <w:tcPr>
            <w:tcW w:w="3259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Рейтинговые критерии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баллов, присвоенных инициативному проекту по каждому из критериев, входящих в группу 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Критерии прохождения конкурсного отбора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649A" w:rsidRPr="0007649A">
        <w:tc>
          <w:tcPr>
            <w:tcW w:w="3259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698" w:type="dxa"/>
            <w:gridSpan w:val="2"/>
          </w:tcPr>
          <w:p w:rsidR="0007649A" w:rsidRPr="0007649A" w:rsidRDefault="0007649A" w:rsidP="00D9446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Критерии прохождения конкурсного отбора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 xml:space="preserve">, итог 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49A">
              <w:rPr>
                <w:rFonts w:ascii="Times New Roman" w:hAnsi="Times New Roman" w:cs="Times New Roman"/>
                <w:sz w:val="24"/>
                <w:szCs w:val="24"/>
              </w:rPr>
              <w:t>Рейтинговые критерии</w:t>
            </w:r>
            <w:r w:rsidR="00F21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7649A" w:rsidRPr="0007649A" w:rsidRDefault="0007649A" w:rsidP="00D9446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к Порядку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78"/>
      <w:bookmarkEnd w:id="13"/>
      <w:r w:rsidRPr="0007649A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               (место подачи инициативного проекта)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"___" ________ 20__ г.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09688F">
        <w:rPr>
          <w:rFonts w:ascii="Times New Roman" w:hAnsi="Times New Roman" w:cs="Times New Roman"/>
          <w:sz w:val="24"/>
          <w:szCs w:val="24"/>
        </w:rPr>
        <w:t>№</w:t>
      </w:r>
      <w:r w:rsidRPr="0007649A">
        <w:rPr>
          <w:rFonts w:ascii="Times New Roman" w:hAnsi="Times New Roman" w:cs="Times New Roman"/>
          <w:sz w:val="24"/>
          <w:szCs w:val="24"/>
        </w:rPr>
        <w:t xml:space="preserve"> ________ выдан ____________________________________,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(документа, удостоверяющего личность)                (дата)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        (орган, выдавший документ, удостоверяющий личность)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07649A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7649A">
        <w:rPr>
          <w:rFonts w:ascii="Times New Roman" w:hAnsi="Times New Roman" w:cs="Times New Roman"/>
          <w:sz w:val="24"/>
          <w:szCs w:val="24"/>
        </w:rPr>
        <w:t xml:space="preserve"> Федерального закона  от 27 июля 2006 года</w:t>
      </w:r>
      <w:r w:rsidR="00F2140A">
        <w:rPr>
          <w:rFonts w:ascii="Times New Roman" w:hAnsi="Times New Roman" w:cs="Times New Roman"/>
          <w:sz w:val="24"/>
          <w:szCs w:val="24"/>
        </w:rPr>
        <w:t xml:space="preserve"> №</w:t>
      </w:r>
      <w:r w:rsidRPr="0007649A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настоящим даю свое согласие: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1. На обработку моих персональных данных операторам персональных</w:t>
      </w:r>
      <w:r w:rsidR="00F2140A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 xml:space="preserve">данных: администрации </w:t>
      </w:r>
      <w:r w:rsidR="00F2140A"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F2140A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находящейся по адресу</w:t>
      </w:r>
      <w:r w:rsidR="00F2140A">
        <w:rPr>
          <w:rFonts w:ascii="Times New Roman" w:hAnsi="Times New Roman" w:cs="Times New Roman"/>
          <w:sz w:val="24"/>
          <w:szCs w:val="24"/>
        </w:rPr>
        <w:t xml:space="preserve"> Республика Бурятия</w:t>
      </w:r>
      <w:r w:rsidRPr="0007649A">
        <w:rPr>
          <w:rFonts w:ascii="Times New Roman" w:hAnsi="Times New Roman" w:cs="Times New Roman"/>
          <w:sz w:val="24"/>
          <w:szCs w:val="24"/>
        </w:rPr>
        <w:t>,</w:t>
      </w:r>
      <w:r w:rsidR="002B3ED4">
        <w:rPr>
          <w:rFonts w:ascii="Times New Roman" w:hAnsi="Times New Roman" w:cs="Times New Roman"/>
          <w:sz w:val="24"/>
          <w:szCs w:val="24"/>
        </w:rPr>
        <w:t xml:space="preserve"> МО «Курумканский район</w:t>
      </w:r>
      <w:r w:rsidR="00F2140A">
        <w:rPr>
          <w:rFonts w:ascii="Times New Roman" w:hAnsi="Times New Roman" w:cs="Times New Roman"/>
          <w:sz w:val="24"/>
          <w:szCs w:val="24"/>
        </w:rPr>
        <w:t xml:space="preserve">», индекс </w:t>
      </w:r>
      <w:r w:rsidR="002B3ED4">
        <w:rPr>
          <w:rFonts w:ascii="Times New Roman" w:hAnsi="Times New Roman" w:cs="Times New Roman"/>
          <w:sz w:val="24"/>
          <w:szCs w:val="24"/>
        </w:rPr>
        <w:t>671640</w:t>
      </w:r>
      <w:r w:rsidRPr="0007649A">
        <w:rPr>
          <w:rFonts w:ascii="Times New Roman" w:hAnsi="Times New Roman" w:cs="Times New Roman"/>
          <w:sz w:val="24"/>
          <w:szCs w:val="24"/>
        </w:rPr>
        <w:t xml:space="preserve"> (наименование администрации городского, сельского поселения</w:t>
      </w:r>
      <w:r w:rsidR="0009688F">
        <w:rPr>
          <w:rFonts w:ascii="Times New Roman" w:hAnsi="Times New Roman" w:cs="Times New Roman"/>
          <w:sz w:val="24"/>
          <w:szCs w:val="24"/>
        </w:rPr>
        <w:t xml:space="preserve"> </w:t>
      </w:r>
      <w:r w:rsidR="00F2140A"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F2140A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в котором планируется  реализация  проекта, адрес):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фамилия,  имя,  отчество,  документ,  подтверждающий  полномочия инициатора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проекта, номер контактного телефона, электронный адрес.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Обработка  персональных  данных осуществляется операторами персональных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данных в целях  рассмотрения представленного мною проекта инициативного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бюджетирования на соответствие установленных требований, подготовки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заключения о правомерности, возможности, целесообразности реализации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Настоящее согласие предоставляется мной на осуществление действий в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отношении моих  персональных данных, которые необходимы  для достижения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указанных  выше целей, включая (без ограничения) сбор, систематизацию,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обезличивание,  блокирование персональных  данных, а также осуществление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Доступ к моим персональным данным могут получать сотрудники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140A"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F2140A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администрации городского, сельского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2140A"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F2140A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в котором планируется реализация проекта,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только  в случае служебной необходимости в объеме, требуемом для исполнения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ими своих обязательств.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r w:rsidR="00F2140A"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F2140A"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администрации городского, сельского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2B3ED4">
        <w:rPr>
          <w:rFonts w:ascii="Times New Roman" w:hAnsi="Times New Roman" w:cs="Times New Roman"/>
          <w:sz w:val="24"/>
          <w:szCs w:val="24"/>
        </w:rPr>
        <w:t>Курумканский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649A">
        <w:rPr>
          <w:rFonts w:ascii="Times New Roman" w:hAnsi="Times New Roman" w:cs="Times New Roman"/>
          <w:sz w:val="24"/>
          <w:szCs w:val="24"/>
        </w:rPr>
        <w:t>, в котором планируется реализация проекта, не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раскрывают персональные данные граждан третьим лицам, за исключением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случаев, прямо предусмотренных действующим законодательством.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Настоящее согласие дается сроком по достижении целей обработки или в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случае утраты необходимости в достижении этих целей, если иное не</w:t>
      </w:r>
      <w:r w:rsidR="005D2B06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Согласие на обработку персональных данных может быть отозвано.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07649A" w:rsidRPr="0007649A" w:rsidRDefault="0007649A" w:rsidP="00D944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        (фамилия, имя, отчество)                     (подпись)</w:t>
      </w: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D944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649A" w:rsidRPr="0007649A" w:rsidSect="0007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CCB"/>
    <w:multiLevelType w:val="hybridMultilevel"/>
    <w:tmpl w:val="A8CC37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47487E"/>
    <w:multiLevelType w:val="hybridMultilevel"/>
    <w:tmpl w:val="BD8C5DDE"/>
    <w:lvl w:ilvl="0" w:tplc="DE6A344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34121F"/>
    <w:multiLevelType w:val="hybridMultilevel"/>
    <w:tmpl w:val="BF68AEAA"/>
    <w:lvl w:ilvl="0" w:tplc="47D8899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70B51"/>
    <w:multiLevelType w:val="hybridMultilevel"/>
    <w:tmpl w:val="C69E0D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7649A"/>
    <w:rsid w:val="0003185A"/>
    <w:rsid w:val="00065DA4"/>
    <w:rsid w:val="0007649A"/>
    <w:rsid w:val="00090753"/>
    <w:rsid w:val="0009688F"/>
    <w:rsid w:val="000C094C"/>
    <w:rsid w:val="00175A6D"/>
    <w:rsid w:val="001A7438"/>
    <w:rsid w:val="00216108"/>
    <w:rsid w:val="002A3EC6"/>
    <w:rsid w:val="002B3ED4"/>
    <w:rsid w:val="002C2B03"/>
    <w:rsid w:val="003344FF"/>
    <w:rsid w:val="00542057"/>
    <w:rsid w:val="005608E8"/>
    <w:rsid w:val="00567333"/>
    <w:rsid w:val="005D2B06"/>
    <w:rsid w:val="00604F15"/>
    <w:rsid w:val="006B49D5"/>
    <w:rsid w:val="007430B1"/>
    <w:rsid w:val="00761D0A"/>
    <w:rsid w:val="00800C5F"/>
    <w:rsid w:val="00832D9B"/>
    <w:rsid w:val="00871520"/>
    <w:rsid w:val="008A32EB"/>
    <w:rsid w:val="008B4667"/>
    <w:rsid w:val="009359F8"/>
    <w:rsid w:val="00A72915"/>
    <w:rsid w:val="00C23C1D"/>
    <w:rsid w:val="00C64DE2"/>
    <w:rsid w:val="00D67D43"/>
    <w:rsid w:val="00D9446B"/>
    <w:rsid w:val="00E10D62"/>
    <w:rsid w:val="00EF35C2"/>
    <w:rsid w:val="00EF4184"/>
    <w:rsid w:val="00F0782A"/>
    <w:rsid w:val="00F2140A"/>
    <w:rsid w:val="00F73E27"/>
    <w:rsid w:val="00FD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5A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75A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7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5A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50A3577338276F439172E6B997991DEEF02E9BC26A6F25AD685BC4CBB0D398E0937033EDB74F608FF108358SBh0C" TargetMode="External"/><Relationship Id="rId13" Type="http://schemas.openxmlformats.org/officeDocument/2006/relationships/hyperlink" Target="consultantplus://offline/ref=43350A3577338276F439172E6B997991DEEF00E8BA2EA6F25AD685BC4CBB0D398E0937033EDB74F608FF108358SBh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350A3577338276F439172E6B997991DEEC00ECBC27A6F25AD685BC4CBB0D398E0937033EDB74F608FF108358SBh0C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350A3577338276F439172E6B997991DEEC00ECBC21A6F25AD685BC4CBB0D398E0937033EDB74F608FF108358SBh0C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350A3577338276F43909237DF52E9EDBE259E6B827A8A5048283EB13EB0B6CDC49695A6F973FFA0AE90C8258AE4E73EFS4h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50A3577338276F43909237DF52E9EDBE259E6B827A8A5048283EB13EB0B6CDC49695A6F973FFA0AE90C8258AE4E73EFS4h3C" TargetMode="External"/><Relationship Id="rId14" Type="http://schemas.openxmlformats.org/officeDocument/2006/relationships/hyperlink" Target="consultantplus://offline/ref=43350A3577338276F439172E6B997991DEEC06E9BD25A6F25AD685BC4CBB0D399C096F0F3ED368F002EA46D21EE54173E55DD37DD0C57297SE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5749</Words>
  <Characters>32771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Приложение</vt:lpstr>
      <vt:lpstr>    Раздел 1. ОБЩИЕ ПОЛОЖЕНИЯ</vt:lpstr>
      <vt:lpstr>    Раздел 2. ПОРЯДОК ВЫДВИЖЕНИЯ ИНИЦИАТИВНЫХ ПРОЕКТОВ</vt:lpstr>
      <vt:lpstr>    Раздел 3. ПОРЯДОК ОБСУЖДЕНИЯ ИНИЦИАТИВНЫХ ПРОЕКТОВ</vt:lpstr>
      <vt:lpstr>    Раздел 4. ПОРЯДОК ВНЕСЕНИЯ ИНИЦИАТИВНЫХ ПРОЕКТОВ</vt:lpstr>
      <vt:lpstr>    Раздел 5. ПОРЯДОК РАССМОТРЕНИЯ ИНИЦИАТИВНЫХ ПРОЕКТОВ</vt:lpstr>
      <vt:lpstr>    Раздел 6. ПОРЯДОК РАССМОТРЕНИЯ ИНИЦИАТИВНЫХ ПРОЕКТОВ</vt:lpstr>
      <vt:lpstr>    Раздел 7. МЕТОДИКА И КРИТЕРИИ ОЦЕНКИ ИНИЦИАТИВНЫХ ПРОЕКТОВ</vt:lpstr>
      <vt:lpstr>    Раздел 8. ПОРЯДОК ФОРМИРОВАНИЯ И ДЕЯТЕЛЬНОСТИ СОГЛАСИТЕЛЬНОЙ</vt:lpstr>
      <vt:lpstr>    Раздел 9. ПОРЯДОК РЕАЛИЗАЦИИ ИНИЦИАТИВНЫХ ПРОЕКТОВ</vt:lpstr>
      <vt:lpstr>    Раздел 10. ПОРЯДОК РАСЧЕТА И ВОЗВРАТА СУММ ИНИЦИАТИВНЫХ</vt:lpstr>
      <vt:lpstr>    Приложение 1</vt:lpstr>
      <vt:lpstr>    Приложение 2</vt:lpstr>
      <vt:lpstr>    Приложение 3</vt:lpstr>
    </vt:vector>
  </TitlesOfParts>
  <Company>Microsoft</Company>
  <LinksUpToDate>false</LinksUpToDate>
  <CharactersWithSpaces>38444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minec7</dc:creator>
  <cp:lastModifiedBy>Admin</cp:lastModifiedBy>
  <cp:revision>12</cp:revision>
  <dcterms:created xsi:type="dcterms:W3CDTF">2020-12-18T07:50:00Z</dcterms:created>
  <dcterms:modified xsi:type="dcterms:W3CDTF">2020-12-28T02:03:00Z</dcterms:modified>
</cp:coreProperties>
</file>